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7A9A7" w14:textId="11BF0F7C" w:rsidR="009E5AA0" w:rsidRPr="00A1489D" w:rsidRDefault="000F548C" w:rsidP="00F91920">
      <w:pPr>
        <w:pStyle w:val="H1HQO2015covertitle"/>
      </w:pPr>
      <w:r w:rsidRPr="00A1489D">
        <w:rPr>
          <w:noProof/>
        </w:rPr>
        <mc:AlternateContent>
          <mc:Choice Requires="wps">
            <w:drawing>
              <wp:anchor distT="0" distB="0" distL="114300" distR="114300" simplePos="0" relativeHeight="251666432" behindDoc="0" locked="0" layoutInCell="1" allowOverlap="1" wp14:anchorId="6488937D" wp14:editId="3B5AD56D">
                <wp:simplePos x="0" y="0"/>
                <wp:positionH relativeFrom="column">
                  <wp:posOffset>-178435</wp:posOffset>
                </wp:positionH>
                <wp:positionV relativeFrom="paragraph">
                  <wp:posOffset>0</wp:posOffset>
                </wp:positionV>
                <wp:extent cx="6685915" cy="8420100"/>
                <wp:effectExtent l="0" t="0" r="19685" b="19050"/>
                <wp:wrapSquare wrapText="bothSides"/>
                <wp:docPr id="9" name="Text Box 9"/>
                <wp:cNvGraphicFramePr/>
                <a:graphic xmlns:a="http://schemas.openxmlformats.org/drawingml/2006/main">
                  <a:graphicData uri="http://schemas.microsoft.com/office/word/2010/wordprocessingShape">
                    <wps:wsp>
                      <wps:cNvSpPr txBox="1"/>
                      <wps:spPr>
                        <a:xfrm>
                          <a:off x="0" y="0"/>
                          <a:ext cx="6685915" cy="8420100"/>
                        </a:xfrm>
                        <a:prstGeom prst="rect">
                          <a:avLst/>
                        </a:prstGeom>
                        <a:noFill/>
                        <a:ln>
                          <a:solidFill>
                            <a:srgbClr val="0C6577"/>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9F4EC7" w14:textId="213EB292" w:rsidR="009E5AA0" w:rsidRPr="00B1123F" w:rsidRDefault="009E5AA0" w:rsidP="00B1123F">
                            <w:pPr>
                              <w:widowControl w:val="0"/>
                              <w:autoSpaceDE w:val="0"/>
                              <w:autoSpaceDN w:val="0"/>
                              <w:adjustRightInd w:val="0"/>
                              <w:spacing w:after="0" w:line="276" w:lineRule="auto"/>
                              <w:ind w:left="1134" w:hanging="141"/>
                              <w:textAlignment w:val="center"/>
                              <w:rPr>
                                <w:rFonts w:cs="Arial"/>
                                <w:bCs/>
                                <w:color w:val="006270"/>
                                <w:sz w:val="76"/>
                                <w:szCs w:val="76"/>
                              </w:rPr>
                            </w:pPr>
                          </w:p>
                          <w:p w14:paraId="1CE34F04" w14:textId="77777777" w:rsidR="00B1123F" w:rsidRDefault="00B1123F" w:rsidP="00B1123F">
                            <w:pPr>
                              <w:widowControl w:val="0"/>
                              <w:autoSpaceDE w:val="0"/>
                              <w:autoSpaceDN w:val="0"/>
                              <w:adjustRightInd w:val="0"/>
                              <w:spacing w:line="276" w:lineRule="auto"/>
                              <w:ind w:left="1134" w:hanging="141"/>
                              <w:textAlignment w:val="center"/>
                              <w:rPr>
                                <w:rFonts w:cs="Arial"/>
                                <w:bCs/>
                                <w:color w:val="006270"/>
                                <w:sz w:val="32"/>
                                <w:szCs w:val="32"/>
                              </w:rPr>
                            </w:pPr>
                            <w:r>
                              <w:rPr>
                                <w:rFonts w:cs="Arial"/>
                                <w:noProof/>
                                <w:color w:val="006270"/>
                                <w:sz w:val="76"/>
                                <w:szCs w:val="76"/>
                              </w:rPr>
                              <w:drawing>
                                <wp:inline distT="0" distB="0" distL="0" distR="0" wp14:anchorId="575B05B2" wp14:editId="59F6752C">
                                  <wp:extent cx="2181225" cy="88902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_Wordmark_English_Positive.jpg"/>
                                          <pic:cNvPicPr/>
                                        </pic:nvPicPr>
                                        <pic:blipFill>
                                          <a:blip r:embed="rId11">
                                            <a:extLst>
                                              <a:ext uri="{28A0092B-C50C-407E-A947-70E740481C1C}">
                                                <a14:useLocalDpi xmlns:a14="http://schemas.microsoft.com/office/drawing/2010/main" val="0"/>
                                              </a:ext>
                                            </a:extLst>
                                          </a:blip>
                                          <a:stretch>
                                            <a:fillRect/>
                                          </a:stretch>
                                        </pic:blipFill>
                                        <pic:spPr>
                                          <a:xfrm>
                                            <a:off x="0" y="0"/>
                                            <a:ext cx="2184923" cy="89052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r>
                              <w:rPr>
                                <w:rFonts w:cs="Arial"/>
                                <w:noProof/>
                                <w:color w:val="006270"/>
                                <w:sz w:val="76"/>
                                <w:szCs w:val="76"/>
                              </w:rPr>
                              <w:t xml:space="preserve">   </w:t>
                            </w:r>
                            <w:r>
                              <w:rPr>
                                <w:rFonts w:cs="Arial"/>
                                <w:bCs/>
                                <w:noProof/>
                                <w:color w:val="006270"/>
                                <w:sz w:val="32"/>
                                <w:szCs w:val="32"/>
                              </w:rPr>
                              <w:drawing>
                                <wp:inline distT="0" distB="0" distL="0" distR="0" wp14:anchorId="5EFA0E52" wp14:editId="3A044ADD">
                                  <wp:extent cx="2994038" cy="7239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IPLC_Wordmark_Eng.jpg"/>
                                          <pic:cNvPicPr/>
                                        </pic:nvPicPr>
                                        <pic:blipFill>
                                          <a:blip r:embed="rId12"/>
                                          <a:stretch>
                                            <a:fillRect/>
                                          </a:stretch>
                                        </pic:blipFill>
                                        <pic:spPr>
                                          <a:xfrm>
                                            <a:off x="0" y="0"/>
                                            <a:ext cx="3005126" cy="726581"/>
                                          </a:xfrm>
                                          <a:prstGeom prst="rect">
                                            <a:avLst/>
                                          </a:prstGeom>
                                        </pic:spPr>
                                      </pic:pic>
                                    </a:graphicData>
                                  </a:graphic>
                                </wp:inline>
                              </w:drawing>
                            </w:r>
                          </w:p>
                          <w:p w14:paraId="71941D3D" w14:textId="77777777" w:rsidR="009E5AA0" w:rsidRDefault="009E5AA0" w:rsidP="009E5AA0">
                            <w:pPr>
                              <w:pStyle w:val="HQOTEXT"/>
                            </w:pPr>
                          </w:p>
                          <w:p w14:paraId="5A32AAE3" w14:textId="77777777" w:rsidR="009E5AA0" w:rsidRDefault="009E5AA0" w:rsidP="009E5AA0">
                            <w:pPr>
                              <w:pStyle w:val="HQOTEXT"/>
                            </w:pPr>
                          </w:p>
                          <w:p w14:paraId="64D2BEDF" w14:textId="77777777" w:rsidR="009E5AA0" w:rsidRDefault="009E5AA0" w:rsidP="009E5AA0">
                            <w:pPr>
                              <w:pStyle w:val="HQOTEXT"/>
                            </w:pPr>
                          </w:p>
                          <w:p w14:paraId="03F16D3F" w14:textId="77777777" w:rsidR="009E5AA0" w:rsidRDefault="009E5AA0" w:rsidP="009E5AA0">
                            <w:pPr>
                              <w:pStyle w:val="HQOTEXT"/>
                            </w:pPr>
                          </w:p>
                          <w:p w14:paraId="5FF8C381" w14:textId="77777777" w:rsidR="009E5AA0" w:rsidRDefault="009E5AA0" w:rsidP="009E5AA0">
                            <w:pPr>
                              <w:pStyle w:val="HQOTEXT"/>
                            </w:pPr>
                          </w:p>
                          <w:p w14:paraId="65711FDA" w14:textId="77777777" w:rsidR="009E5AA0" w:rsidRDefault="009E5AA0" w:rsidP="009E5AA0">
                            <w:pPr>
                              <w:pStyle w:val="HQOTEXT"/>
                            </w:pPr>
                          </w:p>
                          <w:p w14:paraId="3FDFCEEE" w14:textId="77777777" w:rsidR="009E5AA0" w:rsidRDefault="009E5AA0" w:rsidP="009E5AA0">
                            <w:pPr>
                              <w:pStyle w:val="HQOTEXT"/>
                            </w:pPr>
                          </w:p>
                          <w:p w14:paraId="0812470C" w14:textId="77777777" w:rsidR="009E5AA0" w:rsidRDefault="009E5AA0" w:rsidP="009E5AA0">
                            <w:pPr>
                              <w:pStyle w:val="HQOTEXT"/>
                            </w:pPr>
                          </w:p>
                          <w:p w14:paraId="403C4EE2" w14:textId="77777777" w:rsidR="009E5AA0" w:rsidRDefault="009E5AA0" w:rsidP="009E5AA0">
                            <w:pPr>
                              <w:pStyle w:val="HQOTEXT"/>
                            </w:pPr>
                          </w:p>
                          <w:p w14:paraId="64AAFE6E" w14:textId="77777777" w:rsidR="009E5AA0" w:rsidRDefault="009E5AA0" w:rsidP="009E5AA0">
                            <w:pPr>
                              <w:pStyle w:val="HQOTEXT"/>
                            </w:pPr>
                          </w:p>
                          <w:p w14:paraId="0EEFA2FF" w14:textId="77777777" w:rsidR="009E5AA0" w:rsidRDefault="009E5AA0" w:rsidP="009E5AA0">
                            <w:pPr>
                              <w:pStyle w:val="HQOTEXT"/>
                            </w:pPr>
                          </w:p>
                          <w:p w14:paraId="1A4CCCBB" w14:textId="77777777" w:rsidR="009E5AA0" w:rsidRDefault="009E5AA0" w:rsidP="009E5AA0">
                            <w:pPr>
                              <w:pStyle w:val="HQOTEXT"/>
                            </w:pPr>
                          </w:p>
                          <w:p w14:paraId="0F56EF56" w14:textId="77777777" w:rsidR="009E5AA0" w:rsidRDefault="009E5AA0" w:rsidP="009E5AA0">
                            <w:pPr>
                              <w:pStyle w:val="HQOTEXT"/>
                            </w:pPr>
                          </w:p>
                          <w:p w14:paraId="15288213" w14:textId="77777777" w:rsidR="009E5AA0" w:rsidRDefault="009E5AA0" w:rsidP="009E5AA0">
                            <w:pPr>
                              <w:pStyle w:val="HQOTEXT"/>
                            </w:pPr>
                          </w:p>
                          <w:p w14:paraId="4E12BF7C" w14:textId="77777777" w:rsidR="009E5AA0" w:rsidRDefault="009E5AA0" w:rsidP="009E5AA0">
                            <w:pPr>
                              <w:pStyle w:val="HQOTEXT"/>
                            </w:pPr>
                          </w:p>
                          <w:p w14:paraId="4048D4CF" w14:textId="77777777" w:rsidR="009E5AA0" w:rsidRDefault="009E5AA0" w:rsidP="009E5AA0">
                            <w:pPr>
                              <w:pStyle w:val="HQOTEXT"/>
                            </w:pPr>
                          </w:p>
                          <w:p w14:paraId="4518DE18" w14:textId="77777777" w:rsidR="009E5AA0" w:rsidRDefault="009E5AA0" w:rsidP="009E5AA0">
                            <w:pPr>
                              <w:pStyle w:val="HQOTEXT"/>
                            </w:pPr>
                          </w:p>
                          <w:p w14:paraId="660D10D7" w14:textId="77777777" w:rsidR="009E5AA0" w:rsidRDefault="009E5AA0" w:rsidP="009E5AA0">
                            <w:pPr>
                              <w:pStyle w:val="HQOTEXT"/>
                            </w:pPr>
                          </w:p>
                          <w:p w14:paraId="1E4BE4F2" w14:textId="77777777" w:rsidR="009E5AA0" w:rsidRDefault="009E5AA0" w:rsidP="009E5AA0">
                            <w:pPr>
                              <w:pStyle w:val="HQOTEXT"/>
                            </w:pPr>
                          </w:p>
                          <w:p w14:paraId="609ACD69" w14:textId="77777777" w:rsidR="009E5AA0" w:rsidRDefault="009E5AA0" w:rsidP="009E5AA0">
                            <w:pPr>
                              <w:pStyle w:val="HQOTEXT"/>
                            </w:pPr>
                          </w:p>
                          <w:p w14:paraId="2DC72982" w14:textId="77777777" w:rsidR="009E5AA0" w:rsidRDefault="009E5AA0" w:rsidP="009E5AA0">
                            <w:pPr>
                              <w:pStyle w:val="HQOTEXT"/>
                            </w:pPr>
                          </w:p>
                          <w:p w14:paraId="4C903D70" w14:textId="77777777" w:rsidR="009E5AA0" w:rsidRDefault="009E5AA0" w:rsidP="009E5AA0">
                            <w:pPr>
                              <w:pStyle w:val="HQOTEXT"/>
                            </w:pPr>
                          </w:p>
                          <w:p w14:paraId="5491CA07" w14:textId="77777777" w:rsidR="009E5AA0" w:rsidRDefault="009E5AA0" w:rsidP="009E5AA0">
                            <w:pPr>
                              <w:pStyle w:val="HQOTEXT"/>
                            </w:pPr>
                          </w:p>
                          <w:p w14:paraId="78004E4C" w14:textId="77777777" w:rsidR="009E5AA0" w:rsidRDefault="009E5AA0" w:rsidP="009E5AA0">
                            <w:pPr>
                              <w:pStyle w:val="HQOTEXT"/>
                            </w:pPr>
                          </w:p>
                          <w:p w14:paraId="3EC8BF0F" w14:textId="77777777" w:rsidR="009E5AA0" w:rsidRDefault="009E5AA0" w:rsidP="009E5AA0">
                            <w:pPr>
                              <w:pStyle w:val="HQOTEXT"/>
                            </w:pPr>
                          </w:p>
                          <w:p w14:paraId="539BDD63" w14:textId="77777777" w:rsidR="009E5AA0" w:rsidRDefault="009E5AA0" w:rsidP="009E5AA0">
                            <w:pPr>
                              <w:pStyle w:val="HQOTEXT"/>
                            </w:pPr>
                          </w:p>
                          <w:p w14:paraId="1D88FB47" w14:textId="77777777" w:rsidR="009E5AA0" w:rsidRDefault="009E5AA0" w:rsidP="009E5AA0">
                            <w:pPr>
                              <w:pStyle w:val="HQOTEXT"/>
                            </w:pPr>
                          </w:p>
                          <w:p w14:paraId="2B1CA43E" w14:textId="77777777" w:rsidR="009E5AA0" w:rsidRDefault="009E5AA0" w:rsidP="009E5AA0">
                            <w:pPr>
                              <w:pStyle w:val="HQOTEXT"/>
                            </w:pPr>
                          </w:p>
                          <w:p w14:paraId="04D5A303" w14:textId="77777777" w:rsidR="009E5AA0" w:rsidRDefault="009E5AA0" w:rsidP="009E5AA0">
                            <w:pPr>
                              <w:pStyle w:val="HQOTEXT"/>
                            </w:pPr>
                          </w:p>
                          <w:p w14:paraId="12DB5E51" w14:textId="77777777" w:rsidR="009E5AA0" w:rsidRDefault="009E5AA0" w:rsidP="009E5AA0">
                            <w:pPr>
                              <w:pStyle w:val="HQOTEXT"/>
                            </w:pPr>
                          </w:p>
                          <w:p w14:paraId="04BE140F" w14:textId="53C96558" w:rsidR="009E5AA0" w:rsidRDefault="009E5AA0" w:rsidP="009E5AA0">
                            <w:pPr>
                              <w:pStyle w:val="HQOTEXT"/>
                              <w:ind w:right="318"/>
                              <w:jc w:val="right"/>
                              <w:rPr>
                                <w:noProof/>
                              </w:rPr>
                            </w:pPr>
                          </w:p>
                          <w:p w14:paraId="792BFE89" w14:textId="15A8698C" w:rsidR="00B1123F" w:rsidRDefault="00B1123F" w:rsidP="007000F9">
                            <w:pPr>
                              <w:pStyle w:val="HQOTEXT"/>
                              <w:ind w:right="318"/>
                              <w:rPr>
                                <w:noProof/>
                              </w:rPr>
                            </w:pPr>
                          </w:p>
                          <w:p w14:paraId="0F1ECAEE" w14:textId="0C9EF42F" w:rsidR="00B1123F" w:rsidRPr="000D1F8F" w:rsidRDefault="007000F9" w:rsidP="009E5AA0">
                            <w:pPr>
                              <w:pStyle w:val="HQOTEXT"/>
                              <w:ind w:right="318"/>
                              <w:jc w:val="right"/>
                            </w:pPr>
                            <w:r>
                              <w:rPr>
                                <w:noProof/>
                              </w:rPr>
                              <w:drawing>
                                <wp:inline distT="0" distB="0" distL="0" distR="0" wp14:anchorId="490A5822" wp14:editId="2CE3FEDF">
                                  <wp:extent cx="2376480" cy="95049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_POS_LOGO_RGB.PNG"/>
                                          <pic:cNvPicPr/>
                                        </pic:nvPicPr>
                                        <pic:blipFill>
                                          <a:blip r:embed="rId13"/>
                                          <a:stretch>
                                            <a:fillRect/>
                                          </a:stretch>
                                        </pic:blipFill>
                                        <pic:spPr>
                                          <a:xfrm>
                                            <a:off x="0" y="0"/>
                                            <a:ext cx="2392491" cy="9569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8937D" id="_x0000_t202" coordsize="21600,21600" o:spt="202" path="m,l,21600r21600,l21600,xe">
                <v:stroke joinstyle="miter"/>
                <v:path gradientshapeok="t" o:connecttype="rect"/>
              </v:shapetype>
              <v:shape id="Text Box 9" o:spid="_x0000_s1026" type="#_x0000_t202" style="position:absolute;left:0;text-align:left;margin-left:-14.05pt;margin-top:0;width:526.45pt;height:6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" filled="f" strokecolor="#0c6577">
                <v:textbox>
                  <w:txbxContent>
                    <w:p w14:paraId="119F4EC7" w14:textId="213EB292" w:rsidR="009E5AA0" w:rsidRPr="00B1123F" w:rsidRDefault="009E5AA0" w:rsidP="00B1123F">
                      <w:pPr>
                        <w:widowControl w:val="0"/>
                        <w:autoSpaceDE w:val="0"/>
                        <w:autoSpaceDN w:val="0"/>
                        <w:adjustRightInd w:val="0"/>
                        <w:spacing w:after="0" w:line="276" w:lineRule="auto"/>
                        <w:ind w:left="1134" w:hanging="141"/>
                        <w:textAlignment w:val="center"/>
                        <w:rPr>
                          <w:rFonts w:cs="Arial"/>
                          <w:bCs/>
                          <w:color w:val="006270"/>
                          <w:sz w:val="76"/>
                          <w:szCs w:val="76"/>
                        </w:rPr>
                      </w:pPr>
                    </w:p>
                    <w:p w14:paraId="1CE34F04" w14:textId="77777777" w:rsidR="00B1123F" w:rsidRDefault="00B1123F" w:rsidP="00B1123F">
                      <w:pPr>
                        <w:widowControl w:val="0"/>
                        <w:autoSpaceDE w:val="0"/>
                        <w:autoSpaceDN w:val="0"/>
                        <w:adjustRightInd w:val="0"/>
                        <w:spacing w:line="276" w:lineRule="auto"/>
                        <w:ind w:left="1134" w:hanging="141"/>
                        <w:textAlignment w:val="center"/>
                        <w:rPr>
                          <w:rFonts w:cs="Arial"/>
                          <w:bCs/>
                          <w:color w:val="006270"/>
                          <w:sz w:val="32"/>
                          <w:szCs w:val="32"/>
                        </w:rPr>
                      </w:pPr>
                      <w:r>
                        <w:rPr>
                          <w:rFonts w:cs="Arial"/>
                          <w:noProof/>
                          <w:color w:val="006270"/>
                          <w:sz w:val="76"/>
                          <w:szCs w:val="76"/>
                        </w:rPr>
                        <w:drawing>
                          <wp:inline distT="0" distB="0" distL="0" distR="0" wp14:anchorId="575B05B2" wp14:editId="59F6752C">
                            <wp:extent cx="2181225" cy="88902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_Wordmark_English_Positive.jpg"/>
                                    <pic:cNvPicPr/>
                                  </pic:nvPicPr>
                                  <pic:blipFill>
                                    <a:blip r:embed="rId11">
                                      <a:extLst>
                                        <a:ext uri="{28A0092B-C50C-407E-A947-70E740481C1C}">
                                          <a14:useLocalDpi xmlns:a14="http://schemas.microsoft.com/office/drawing/2010/main" val="0"/>
                                        </a:ext>
                                      </a:extLst>
                                    </a:blip>
                                    <a:stretch>
                                      <a:fillRect/>
                                    </a:stretch>
                                  </pic:blipFill>
                                  <pic:spPr>
                                    <a:xfrm>
                                      <a:off x="0" y="0"/>
                                      <a:ext cx="2184923" cy="89052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r>
                        <w:rPr>
                          <w:rFonts w:cs="Arial"/>
                          <w:noProof/>
                          <w:color w:val="006270"/>
                          <w:sz w:val="76"/>
                          <w:szCs w:val="76"/>
                        </w:rPr>
                        <w:t xml:space="preserve">   </w:t>
                      </w:r>
                      <w:r>
                        <w:rPr>
                          <w:rFonts w:cs="Arial"/>
                          <w:bCs/>
                          <w:noProof/>
                          <w:color w:val="006270"/>
                          <w:sz w:val="32"/>
                          <w:szCs w:val="32"/>
                        </w:rPr>
                        <w:drawing>
                          <wp:inline distT="0" distB="0" distL="0" distR="0" wp14:anchorId="5EFA0E52" wp14:editId="3A044ADD">
                            <wp:extent cx="2994038" cy="7239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IPLC_Wordmark_Eng.jpg"/>
                                    <pic:cNvPicPr/>
                                  </pic:nvPicPr>
                                  <pic:blipFill>
                                    <a:blip r:embed="rId12"/>
                                    <a:stretch>
                                      <a:fillRect/>
                                    </a:stretch>
                                  </pic:blipFill>
                                  <pic:spPr>
                                    <a:xfrm>
                                      <a:off x="0" y="0"/>
                                      <a:ext cx="3005126" cy="726581"/>
                                    </a:xfrm>
                                    <a:prstGeom prst="rect">
                                      <a:avLst/>
                                    </a:prstGeom>
                                  </pic:spPr>
                                </pic:pic>
                              </a:graphicData>
                            </a:graphic>
                          </wp:inline>
                        </w:drawing>
                      </w:r>
                    </w:p>
                    <w:p w14:paraId="71941D3D" w14:textId="77777777" w:rsidR="009E5AA0" w:rsidRDefault="009E5AA0" w:rsidP="009E5AA0">
                      <w:pPr>
                        <w:pStyle w:val="HQOTEXT"/>
                      </w:pPr>
                    </w:p>
                    <w:p w14:paraId="5A32AAE3" w14:textId="77777777" w:rsidR="009E5AA0" w:rsidRDefault="009E5AA0" w:rsidP="009E5AA0">
                      <w:pPr>
                        <w:pStyle w:val="HQOTEXT"/>
                      </w:pPr>
                    </w:p>
                    <w:p w14:paraId="64D2BEDF" w14:textId="77777777" w:rsidR="009E5AA0" w:rsidRDefault="009E5AA0" w:rsidP="009E5AA0">
                      <w:pPr>
                        <w:pStyle w:val="HQOTEXT"/>
                      </w:pPr>
                    </w:p>
                    <w:p w14:paraId="03F16D3F" w14:textId="77777777" w:rsidR="009E5AA0" w:rsidRDefault="009E5AA0" w:rsidP="009E5AA0">
                      <w:pPr>
                        <w:pStyle w:val="HQOTEXT"/>
                      </w:pPr>
                    </w:p>
                    <w:p w14:paraId="5FF8C381" w14:textId="77777777" w:rsidR="009E5AA0" w:rsidRDefault="009E5AA0" w:rsidP="009E5AA0">
                      <w:pPr>
                        <w:pStyle w:val="HQOTEXT"/>
                      </w:pPr>
                    </w:p>
                    <w:p w14:paraId="65711FDA" w14:textId="77777777" w:rsidR="009E5AA0" w:rsidRDefault="009E5AA0" w:rsidP="009E5AA0">
                      <w:pPr>
                        <w:pStyle w:val="HQOTEXT"/>
                      </w:pPr>
                    </w:p>
                    <w:p w14:paraId="3FDFCEEE" w14:textId="77777777" w:rsidR="009E5AA0" w:rsidRDefault="009E5AA0" w:rsidP="009E5AA0">
                      <w:pPr>
                        <w:pStyle w:val="HQOTEXT"/>
                      </w:pPr>
                    </w:p>
                    <w:p w14:paraId="0812470C" w14:textId="77777777" w:rsidR="009E5AA0" w:rsidRDefault="009E5AA0" w:rsidP="009E5AA0">
                      <w:pPr>
                        <w:pStyle w:val="HQOTEXT"/>
                      </w:pPr>
                    </w:p>
                    <w:p w14:paraId="403C4EE2" w14:textId="77777777" w:rsidR="009E5AA0" w:rsidRDefault="009E5AA0" w:rsidP="009E5AA0">
                      <w:pPr>
                        <w:pStyle w:val="HQOTEXT"/>
                      </w:pPr>
                    </w:p>
                    <w:p w14:paraId="64AAFE6E" w14:textId="77777777" w:rsidR="009E5AA0" w:rsidRDefault="009E5AA0" w:rsidP="009E5AA0">
                      <w:pPr>
                        <w:pStyle w:val="HQOTEXT"/>
                      </w:pPr>
                    </w:p>
                    <w:p w14:paraId="0EEFA2FF" w14:textId="77777777" w:rsidR="009E5AA0" w:rsidRDefault="009E5AA0" w:rsidP="009E5AA0">
                      <w:pPr>
                        <w:pStyle w:val="HQOTEXT"/>
                      </w:pPr>
                    </w:p>
                    <w:p w14:paraId="1A4CCCBB" w14:textId="77777777" w:rsidR="009E5AA0" w:rsidRDefault="009E5AA0" w:rsidP="009E5AA0">
                      <w:pPr>
                        <w:pStyle w:val="HQOTEXT"/>
                      </w:pPr>
                    </w:p>
                    <w:p w14:paraId="0F56EF56" w14:textId="77777777" w:rsidR="009E5AA0" w:rsidRDefault="009E5AA0" w:rsidP="009E5AA0">
                      <w:pPr>
                        <w:pStyle w:val="HQOTEXT"/>
                      </w:pPr>
                    </w:p>
                    <w:p w14:paraId="15288213" w14:textId="77777777" w:rsidR="009E5AA0" w:rsidRDefault="009E5AA0" w:rsidP="009E5AA0">
                      <w:pPr>
                        <w:pStyle w:val="HQOTEXT"/>
                      </w:pPr>
                    </w:p>
                    <w:p w14:paraId="4E12BF7C" w14:textId="77777777" w:rsidR="009E5AA0" w:rsidRDefault="009E5AA0" w:rsidP="009E5AA0">
                      <w:pPr>
                        <w:pStyle w:val="HQOTEXT"/>
                      </w:pPr>
                    </w:p>
                    <w:p w14:paraId="4048D4CF" w14:textId="77777777" w:rsidR="009E5AA0" w:rsidRDefault="009E5AA0" w:rsidP="009E5AA0">
                      <w:pPr>
                        <w:pStyle w:val="HQOTEXT"/>
                      </w:pPr>
                    </w:p>
                    <w:p w14:paraId="4518DE18" w14:textId="77777777" w:rsidR="009E5AA0" w:rsidRDefault="009E5AA0" w:rsidP="009E5AA0">
                      <w:pPr>
                        <w:pStyle w:val="HQOTEXT"/>
                      </w:pPr>
                    </w:p>
                    <w:p w14:paraId="660D10D7" w14:textId="77777777" w:rsidR="009E5AA0" w:rsidRDefault="009E5AA0" w:rsidP="009E5AA0">
                      <w:pPr>
                        <w:pStyle w:val="HQOTEXT"/>
                      </w:pPr>
                    </w:p>
                    <w:p w14:paraId="1E4BE4F2" w14:textId="77777777" w:rsidR="009E5AA0" w:rsidRDefault="009E5AA0" w:rsidP="009E5AA0">
                      <w:pPr>
                        <w:pStyle w:val="HQOTEXT"/>
                      </w:pPr>
                    </w:p>
                    <w:p w14:paraId="609ACD69" w14:textId="77777777" w:rsidR="009E5AA0" w:rsidRDefault="009E5AA0" w:rsidP="009E5AA0">
                      <w:pPr>
                        <w:pStyle w:val="HQOTEXT"/>
                      </w:pPr>
                    </w:p>
                    <w:p w14:paraId="2DC72982" w14:textId="77777777" w:rsidR="009E5AA0" w:rsidRDefault="009E5AA0" w:rsidP="009E5AA0">
                      <w:pPr>
                        <w:pStyle w:val="HQOTEXT"/>
                      </w:pPr>
                    </w:p>
                    <w:p w14:paraId="4C903D70" w14:textId="77777777" w:rsidR="009E5AA0" w:rsidRDefault="009E5AA0" w:rsidP="009E5AA0">
                      <w:pPr>
                        <w:pStyle w:val="HQOTEXT"/>
                      </w:pPr>
                    </w:p>
                    <w:p w14:paraId="5491CA07" w14:textId="77777777" w:rsidR="009E5AA0" w:rsidRDefault="009E5AA0" w:rsidP="009E5AA0">
                      <w:pPr>
                        <w:pStyle w:val="HQOTEXT"/>
                      </w:pPr>
                    </w:p>
                    <w:p w14:paraId="78004E4C" w14:textId="77777777" w:rsidR="009E5AA0" w:rsidRDefault="009E5AA0" w:rsidP="009E5AA0">
                      <w:pPr>
                        <w:pStyle w:val="HQOTEXT"/>
                      </w:pPr>
                    </w:p>
                    <w:p w14:paraId="3EC8BF0F" w14:textId="77777777" w:rsidR="009E5AA0" w:rsidRDefault="009E5AA0" w:rsidP="009E5AA0">
                      <w:pPr>
                        <w:pStyle w:val="HQOTEXT"/>
                      </w:pPr>
                    </w:p>
                    <w:p w14:paraId="539BDD63" w14:textId="77777777" w:rsidR="009E5AA0" w:rsidRDefault="009E5AA0" w:rsidP="009E5AA0">
                      <w:pPr>
                        <w:pStyle w:val="HQOTEXT"/>
                      </w:pPr>
                    </w:p>
                    <w:p w14:paraId="1D88FB47" w14:textId="77777777" w:rsidR="009E5AA0" w:rsidRDefault="009E5AA0" w:rsidP="009E5AA0">
                      <w:pPr>
                        <w:pStyle w:val="HQOTEXT"/>
                      </w:pPr>
                    </w:p>
                    <w:p w14:paraId="2B1CA43E" w14:textId="77777777" w:rsidR="009E5AA0" w:rsidRDefault="009E5AA0" w:rsidP="009E5AA0">
                      <w:pPr>
                        <w:pStyle w:val="HQOTEXT"/>
                      </w:pPr>
                    </w:p>
                    <w:p w14:paraId="04D5A303" w14:textId="77777777" w:rsidR="009E5AA0" w:rsidRDefault="009E5AA0" w:rsidP="009E5AA0">
                      <w:pPr>
                        <w:pStyle w:val="HQOTEXT"/>
                      </w:pPr>
                    </w:p>
                    <w:p w14:paraId="12DB5E51" w14:textId="77777777" w:rsidR="009E5AA0" w:rsidRDefault="009E5AA0" w:rsidP="009E5AA0">
                      <w:pPr>
                        <w:pStyle w:val="HQOTEXT"/>
                      </w:pPr>
                    </w:p>
                    <w:p w14:paraId="04BE140F" w14:textId="53C96558" w:rsidR="009E5AA0" w:rsidRDefault="009E5AA0" w:rsidP="009E5AA0">
                      <w:pPr>
                        <w:pStyle w:val="HQOTEXT"/>
                        <w:ind w:right="318"/>
                        <w:jc w:val="right"/>
                        <w:rPr>
                          <w:noProof/>
                        </w:rPr>
                      </w:pPr>
                    </w:p>
                    <w:p w14:paraId="792BFE89" w14:textId="15A8698C" w:rsidR="00B1123F" w:rsidRDefault="00B1123F" w:rsidP="007000F9">
                      <w:pPr>
                        <w:pStyle w:val="HQOTEXT"/>
                        <w:ind w:right="318"/>
                        <w:rPr>
                          <w:noProof/>
                        </w:rPr>
                      </w:pPr>
                    </w:p>
                    <w:p w14:paraId="0F1ECAEE" w14:textId="0C9EF42F" w:rsidR="00B1123F" w:rsidRPr="000D1F8F" w:rsidRDefault="007000F9" w:rsidP="009E5AA0">
                      <w:pPr>
                        <w:pStyle w:val="HQOTEXT"/>
                        <w:ind w:right="318"/>
                        <w:jc w:val="right"/>
                      </w:pPr>
                      <w:r>
                        <w:rPr>
                          <w:noProof/>
                        </w:rPr>
                        <w:drawing>
                          <wp:inline distT="0" distB="0" distL="0" distR="0" wp14:anchorId="490A5822" wp14:editId="2CE3FEDF">
                            <wp:extent cx="2376480" cy="95049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_POS_LOGO_RGB.PNG"/>
                                    <pic:cNvPicPr/>
                                  </pic:nvPicPr>
                                  <pic:blipFill>
                                    <a:blip r:embed="rId13"/>
                                    <a:stretch>
                                      <a:fillRect/>
                                    </a:stretch>
                                  </pic:blipFill>
                                  <pic:spPr>
                                    <a:xfrm>
                                      <a:off x="0" y="0"/>
                                      <a:ext cx="2392491" cy="956903"/>
                                    </a:xfrm>
                                    <a:prstGeom prst="rect">
                                      <a:avLst/>
                                    </a:prstGeom>
                                  </pic:spPr>
                                </pic:pic>
                              </a:graphicData>
                            </a:graphic>
                          </wp:inline>
                        </w:drawing>
                      </w:r>
                    </w:p>
                  </w:txbxContent>
                </v:textbox>
                <w10:wrap type="square"/>
              </v:shape>
            </w:pict>
          </mc:Fallback>
        </mc:AlternateContent>
      </w:r>
      <w:r w:rsidR="009E5AA0" w:rsidRPr="00A1489D">
        <w:rPr>
          <w:noProof/>
        </w:rPr>
        <mc:AlternateContent>
          <mc:Choice Requires="wps">
            <w:drawing>
              <wp:anchor distT="0" distB="0" distL="114300" distR="114300" simplePos="0" relativeHeight="251667456" behindDoc="0" locked="0" layoutInCell="1" allowOverlap="1" wp14:anchorId="11A07184" wp14:editId="780BC2A9">
                <wp:simplePos x="0" y="0"/>
                <wp:positionH relativeFrom="column">
                  <wp:posOffset>638810</wp:posOffset>
                </wp:positionH>
                <wp:positionV relativeFrom="paragraph">
                  <wp:posOffset>2910840</wp:posOffset>
                </wp:positionV>
                <wp:extent cx="5435600" cy="4102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435600" cy="4102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5DF2AD" w14:textId="5ECC165C" w:rsidR="009E5AA0" w:rsidRDefault="00A45F0F" w:rsidP="009C2889">
                            <w:pPr>
                              <w:pStyle w:val="HQO2015DateofReport"/>
                            </w:pPr>
                            <w:r>
                              <w:t xml:space="preserve">September </w:t>
                            </w:r>
                            <w:r w:rsidR="009E5AA0">
                              <w:t>2019</w:t>
                            </w:r>
                          </w:p>
                          <w:p w14:paraId="4E71E39B" w14:textId="26139FFF" w:rsidR="009E5AA0" w:rsidRPr="00F13A34" w:rsidRDefault="000F548C" w:rsidP="009C2889">
                            <w:pPr>
                              <w:pStyle w:val="H1HQO2015covertitle"/>
                              <w:ind w:left="0"/>
                              <w:rPr>
                                <w:szCs w:val="44"/>
                              </w:rPr>
                            </w:pPr>
                            <w:r w:rsidRPr="00F13A34">
                              <w:rPr>
                                <w:szCs w:val="44"/>
                              </w:rPr>
                              <w:t xml:space="preserve">Diagnostic Imaging </w:t>
                            </w:r>
                            <w:r w:rsidR="009E5AA0" w:rsidRPr="00F13A34">
                              <w:rPr>
                                <w:szCs w:val="44"/>
                              </w:rPr>
                              <w:t xml:space="preserve">Peer </w:t>
                            </w:r>
                            <w:r w:rsidR="00731219" w:rsidRPr="00F13A34">
                              <w:rPr>
                                <w:szCs w:val="44"/>
                              </w:rPr>
                              <w:t>Learning</w:t>
                            </w:r>
                            <w:r w:rsidR="000E6BF8" w:rsidRPr="00F13A34">
                              <w:rPr>
                                <w:szCs w:val="44"/>
                              </w:rPr>
                              <w:t xml:space="preserve"> Toolkit</w:t>
                            </w:r>
                          </w:p>
                          <w:p w14:paraId="0235A274" w14:textId="77777777" w:rsidR="009E5AA0" w:rsidRPr="00F13A34" w:rsidRDefault="009E5AA0" w:rsidP="009C2889">
                            <w:pPr>
                              <w:pStyle w:val="H1HQO2015covertitle"/>
                              <w:ind w:left="0"/>
                              <w:rPr>
                                <w:szCs w:val="44"/>
                              </w:rPr>
                            </w:pPr>
                          </w:p>
                          <w:p w14:paraId="207E7FB6" w14:textId="7F23893F" w:rsidR="009E5AA0" w:rsidRPr="00F13A34" w:rsidRDefault="001512E3" w:rsidP="009C2889">
                            <w:pPr>
                              <w:pStyle w:val="H1HQO2015covertitle"/>
                              <w:ind w:left="0"/>
                              <w:rPr>
                                <w:szCs w:val="44"/>
                              </w:rPr>
                            </w:pPr>
                            <w:r w:rsidRPr="00F13A34">
                              <w:rPr>
                                <w:szCs w:val="44"/>
                              </w:rPr>
                              <w:t>5</w:t>
                            </w:r>
                            <w:r w:rsidR="00901AA4" w:rsidRPr="00F13A34">
                              <w:rPr>
                                <w:szCs w:val="44"/>
                              </w:rPr>
                              <w:t>.2</w:t>
                            </w:r>
                            <w:r w:rsidR="002C6B24" w:rsidRPr="00F13A34">
                              <w:rPr>
                                <w:szCs w:val="44"/>
                              </w:rPr>
                              <w:t>a</w:t>
                            </w:r>
                            <w:r w:rsidR="00A41275" w:rsidRPr="00F13A34">
                              <w:rPr>
                                <w:szCs w:val="44"/>
                              </w:rPr>
                              <w:t xml:space="preserve"> </w:t>
                            </w:r>
                            <w:r w:rsidR="00901AA4" w:rsidRPr="00F13A34">
                              <w:rPr>
                                <w:szCs w:val="44"/>
                              </w:rPr>
                              <w:t>Common Law Privilege (Wigmore Criteria) Quick Facts</w:t>
                            </w:r>
                            <w:r w:rsidR="00901AA4" w:rsidRPr="00F13A34">
                              <w:rPr>
                                <w:rFonts w:ascii="HelveticaNeueLT Std Lt" w:hAnsi="HelveticaNeueLT Std Lt" w:cs="HelveticaNeueLT Std Lt"/>
                                <w:color w:val="auto"/>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7184" id="Text Box 7" o:spid="_x0000_s1027" type="#_x0000_t202" style="position:absolute;left:0;text-align:left;margin-left:50.3pt;margin-top:229.2pt;width:428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" filled="f" stroked="f">
                <v:textbox>
                  <w:txbxContent>
                    <w:p w14:paraId="7C5DF2AD" w14:textId="5ECC165C" w:rsidR="009E5AA0" w:rsidRDefault="00A45F0F" w:rsidP="009C2889">
                      <w:pPr>
                        <w:pStyle w:val="HQO2015DateofReport"/>
                      </w:pPr>
                      <w:r>
                        <w:t xml:space="preserve">September </w:t>
                      </w:r>
                      <w:r w:rsidR="009E5AA0">
                        <w:t>2019</w:t>
                      </w:r>
                    </w:p>
                    <w:p w14:paraId="4E71E39B" w14:textId="26139FFF" w:rsidR="009E5AA0" w:rsidRPr="00F13A34" w:rsidRDefault="000F548C" w:rsidP="009C2889">
                      <w:pPr>
                        <w:pStyle w:val="H1HQO2015covertitle"/>
                        <w:ind w:left="0"/>
                        <w:rPr>
                          <w:szCs w:val="44"/>
                        </w:rPr>
                      </w:pPr>
                      <w:r w:rsidRPr="00F13A34">
                        <w:rPr>
                          <w:szCs w:val="44"/>
                        </w:rPr>
                        <w:t xml:space="preserve">Diagnostic Imaging </w:t>
                      </w:r>
                      <w:r w:rsidR="009E5AA0" w:rsidRPr="00F13A34">
                        <w:rPr>
                          <w:szCs w:val="44"/>
                        </w:rPr>
                        <w:t xml:space="preserve">Peer </w:t>
                      </w:r>
                      <w:r w:rsidR="00731219" w:rsidRPr="00F13A34">
                        <w:rPr>
                          <w:szCs w:val="44"/>
                        </w:rPr>
                        <w:t>Learning</w:t>
                      </w:r>
                      <w:r w:rsidR="000E6BF8" w:rsidRPr="00F13A34">
                        <w:rPr>
                          <w:szCs w:val="44"/>
                        </w:rPr>
                        <w:t xml:space="preserve"> Toolkit</w:t>
                      </w:r>
                    </w:p>
                    <w:p w14:paraId="0235A274" w14:textId="77777777" w:rsidR="009E5AA0" w:rsidRPr="00F13A34" w:rsidRDefault="009E5AA0" w:rsidP="009C2889">
                      <w:pPr>
                        <w:pStyle w:val="H1HQO2015covertitle"/>
                        <w:ind w:left="0"/>
                        <w:rPr>
                          <w:szCs w:val="44"/>
                        </w:rPr>
                      </w:pPr>
                    </w:p>
                    <w:p w14:paraId="207E7FB6" w14:textId="7F23893F" w:rsidR="009E5AA0" w:rsidRPr="00F13A34" w:rsidRDefault="001512E3" w:rsidP="009C2889">
                      <w:pPr>
                        <w:pStyle w:val="H1HQO2015covertitle"/>
                        <w:ind w:left="0"/>
                        <w:rPr>
                          <w:szCs w:val="44"/>
                        </w:rPr>
                      </w:pPr>
                      <w:r w:rsidRPr="00F13A34">
                        <w:rPr>
                          <w:szCs w:val="44"/>
                        </w:rPr>
                        <w:t>5</w:t>
                      </w:r>
                      <w:r w:rsidR="00901AA4" w:rsidRPr="00F13A34">
                        <w:rPr>
                          <w:szCs w:val="44"/>
                        </w:rPr>
                        <w:t>.2</w:t>
                      </w:r>
                      <w:r w:rsidR="002C6B24" w:rsidRPr="00F13A34">
                        <w:rPr>
                          <w:szCs w:val="44"/>
                        </w:rPr>
                        <w:t>a</w:t>
                      </w:r>
                      <w:r w:rsidR="00A41275" w:rsidRPr="00F13A34">
                        <w:rPr>
                          <w:szCs w:val="44"/>
                        </w:rPr>
                        <w:t xml:space="preserve"> </w:t>
                      </w:r>
                      <w:r w:rsidR="00901AA4" w:rsidRPr="00F13A34">
                        <w:rPr>
                          <w:szCs w:val="44"/>
                        </w:rPr>
                        <w:t>Common Law Privilege (</w:t>
                      </w:r>
                      <w:proofErr w:type="spellStart"/>
                      <w:r w:rsidR="00901AA4" w:rsidRPr="00F13A34">
                        <w:rPr>
                          <w:szCs w:val="44"/>
                        </w:rPr>
                        <w:t>Wigmore</w:t>
                      </w:r>
                      <w:proofErr w:type="spellEnd"/>
                      <w:r w:rsidR="00901AA4" w:rsidRPr="00F13A34">
                        <w:rPr>
                          <w:szCs w:val="44"/>
                        </w:rPr>
                        <w:t xml:space="preserve"> Criteria) Quick Facts</w:t>
                      </w:r>
                      <w:r w:rsidR="00901AA4" w:rsidRPr="00F13A34">
                        <w:rPr>
                          <w:rFonts w:ascii="HelveticaNeueLT Std Lt" w:hAnsi="HelveticaNeueLT Std Lt" w:cs="HelveticaNeueLT Std Lt"/>
                          <w:color w:val="auto"/>
                          <w:szCs w:val="44"/>
                        </w:rPr>
                        <w:t xml:space="preserve"> </w:t>
                      </w:r>
                      <w:bookmarkStart w:id="1" w:name="_GoBack"/>
                      <w:bookmarkEnd w:id="1"/>
                    </w:p>
                  </w:txbxContent>
                </v:textbox>
                <w10:wrap type="square"/>
              </v:shape>
            </w:pict>
          </mc:Fallback>
        </mc:AlternateContent>
      </w:r>
      <w:r w:rsidR="009E5AA0" w:rsidRPr="00A1489D">
        <w:rPr>
          <w:noProof/>
        </w:rPr>
        <mc:AlternateContent>
          <mc:Choice Requires="wps">
            <w:drawing>
              <wp:anchor distT="0" distB="0" distL="114300" distR="114300" simplePos="0" relativeHeight="251668480" behindDoc="0" locked="0" layoutInCell="1" allowOverlap="1" wp14:anchorId="1A0D8B48" wp14:editId="14A50BEC">
                <wp:simplePos x="0" y="0"/>
                <wp:positionH relativeFrom="column">
                  <wp:posOffset>-186690</wp:posOffset>
                </wp:positionH>
                <wp:positionV relativeFrom="paragraph">
                  <wp:posOffset>3342640</wp:posOffset>
                </wp:positionV>
                <wp:extent cx="622300" cy="152400"/>
                <wp:effectExtent l="0" t="0" r="12700" b="0"/>
                <wp:wrapThrough wrapText="bothSides">
                  <wp:wrapPolygon edited="0">
                    <wp:start x="0" y="0"/>
                    <wp:lineTo x="0" y="18000"/>
                    <wp:lineTo x="21159" y="18000"/>
                    <wp:lineTo x="21159"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22300" cy="152400"/>
                        </a:xfrm>
                        <a:prstGeom prst="rect">
                          <a:avLst/>
                        </a:prstGeom>
                        <a:solidFill>
                          <a:srgbClr val="0C6577"/>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C3DF2" id="Rectangle 11" o:spid="_x0000_s1026" style="position:absolute;margin-left:-14.7pt;margin-top:263.2pt;width:49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" fillcolor="#0c6577" stroked="f" strokeweight="1pt">
                <w10:wrap type="through"/>
              </v:rect>
            </w:pict>
          </mc:Fallback>
        </mc:AlternateContent>
      </w:r>
    </w:p>
    <w:p w14:paraId="59242A62" w14:textId="77777777" w:rsidR="009E5AA0" w:rsidRDefault="009E5AA0">
      <w:pPr>
        <w:sectPr w:rsidR="009E5AA0" w:rsidSect="009E5AA0">
          <w:footerReference w:type="default" r:id="rId14"/>
          <w:footerReference w:type="first" r:id="rId15"/>
          <w:pgSz w:w="12240" w:h="15840"/>
          <w:pgMar w:top="1440" w:right="540" w:bottom="1440" w:left="1170" w:header="720" w:footer="720" w:gutter="0"/>
          <w:pgNumType w:start="1"/>
          <w:cols w:space="720"/>
          <w:titlePg/>
          <w:docGrid w:linePitch="360"/>
        </w:sectPr>
      </w:pPr>
    </w:p>
    <w:p w14:paraId="5B7ACCB7" w14:textId="66CA2BE1" w:rsidR="00A41275" w:rsidRPr="00F13A34" w:rsidRDefault="00240D05" w:rsidP="00A708C3">
      <w:pPr>
        <w:rPr>
          <w:rFonts w:ascii="Arial" w:hAnsi="Arial" w:cs="Arial"/>
          <w:b/>
          <w:color w:val="00788A"/>
          <w:kern w:val="24"/>
          <w:sz w:val="34"/>
          <w:szCs w:val="34"/>
        </w:rPr>
      </w:pPr>
      <w:r w:rsidRPr="00F13A34">
        <w:rPr>
          <w:rFonts w:ascii="Arial" w:hAnsi="Arial" w:cs="Arial"/>
          <w:b/>
          <w:color w:val="00788A"/>
          <w:kern w:val="24"/>
          <w:sz w:val="34"/>
          <w:szCs w:val="34"/>
        </w:rPr>
        <w:lastRenderedPageBreak/>
        <w:t xml:space="preserve">5.2a </w:t>
      </w:r>
      <w:r w:rsidR="00D358D2" w:rsidRPr="00F13A34">
        <w:rPr>
          <w:rFonts w:ascii="Arial" w:hAnsi="Arial" w:cs="Arial"/>
          <w:b/>
          <w:color w:val="00788A"/>
          <w:kern w:val="24"/>
          <w:sz w:val="34"/>
          <w:szCs w:val="34"/>
        </w:rPr>
        <w:t>Common Law Privilege (Wigmore Criteria)</w:t>
      </w:r>
      <w:r w:rsidR="001512E3" w:rsidRPr="00F13A34">
        <w:rPr>
          <w:rFonts w:ascii="Arial" w:hAnsi="Arial" w:cs="Arial"/>
          <w:b/>
          <w:color w:val="00788A"/>
          <w:kern w:val="24"/>
          <w:sz w:val="34"/>
          <w:szCs w:val="34"/>
        </w:rPr>
        <w:t xml:space="preserve"> Quick Facts </w:t>
      </w:r>
    </w:p>
    <w:p w14:paraId="72277EE3" w14:textId="77777777" w:rsidR="001512E3" w:rsidRPr="001512E3" w:rsidRDefault="001512E3" w:rsidP="001512E3">
      <w:pPr>
        <w:pStyle w:val="Default"/>
        <w:spacing w:before="120"/>
        <w:ind w:left="90"/>
        <w:rPr>
          <w:b/>
          <w:color w:val="auto"/>
          <w:sz w:val="8"/>
          <w:szCs w:val="22"/>
        </w:rPr>
      </w:pPr>
    </w:p>
    <w:p w14:paraId="498BF5AF" w14:textId="6D7A1A22" w:rsidR="007322EE" w:rsidRDefault="007322EE" w:rsidP="007322EE">
      <w:pPr>
        <w:pStyle w:val="Heading3"/>
        <w:spacing w:before="0"/>
        <w:rPr>
          <w:color w:val="00788A"/>
          <w:sz w:val="22"/>
          <w:szCs w:val="22"/>
        </w:rPr>
      </w:pPr>
      <w:r w:rsidRPr="00734210">
        <w:rPr>
          <w:rFonts w:ascii="Arial" w:hAnsi="Arial" w:cs="Arial"/>
          <w:b/>
          <w:color w:val="00788A"/>
          <w:sz w:val="22"/>
          <w:szCs w:val="22"/>
        </w:rPr>
        <w:t xml:space="preserve">How to Use </w:t>
      </w:r>
      <w:r w:rsidR="00785C68">
        <w:rPr>
          <w:rFonts w:ascii="Arial" w:hAnsi="Arial" w:cs="Arial"/>
          <w:b/>
          <w:color w:val="00788A"/>
          <w:sz w:val="22"/>
          <w:szCs w:val="22"/>
        </w:rPr>
        <w:t xml:space="preserve">This </w:t>
      </w:r>
      <w:r w:rsidRPr="00734210">
        <w:rPr>
          <w:rFonts w:ascii="Arial" w:hAnsi="Arial" w:cs="Arial"/>
          <w:b/>
          <w:color w:val="00788A"/>
          <w:sz w:val="22"/>
          <w:szCs w:val="22"/>
        </w:rPr>
        <w:t>Tool</w:t>
      </w:r>
    </w:p>
    <w:p w14:paraId="66DF0B2D" w14:textId="3AF37FDA" w:rsidR="00FC0F77" w:rsidRDefault="001512E3" w:rsidP="00FC0F77">
      <w:pPr>
        <w:pStyle w:val="HQOSUBHEADS"/>
        <w:numPr>
          <w:ilvl w:val="0"/>
          <w:numId w:val="12"/>
        </w:numPr>
        <w:spacing w:before="120"/>
        <w:ind w:left="540" w:hanging="270"/>
        <w:rPr>
          <w:b w:val="0"/>
          <w:color w:val="auto"/>
          <w:sz w:val="22"/>
          <w:szCs w:val="22"/>
        </w:rPr>
      </w:pPr>
      <w:r>
        <w:rPr>
          <w:b w:val="0"/>
          <w:color w:val="auto"/>
          <w:sz w:val="22"/>
          <w:szCs w:val="22"/>
        </w:rPr>
        <w:t xml:space="preserve">Review this section with your </w:t>
      </w:r>
      <w:r w:rsidR="00731219">
        <w:rPr>
          <w:b w:val="0"/>
          <w:color w:val="auto"/>
          <w:sz w:val="22"/>
          <w:szCs w:val="22"/>
        </w:rPr>
        <w:t>organization</w:t>
      </w:r>
      <w:r>
        <w:rPr>
          <w:b w:val="0"/>
          <w:color w:val="auto"/>
          <w:sz w:val="22"/>
          <w:szCs w:val="22"/>
        </w:rPr>
        <w:t>’s privacy and/or legal representative</w:t>
      </w:r>
      <w:r w:rsidR="00731219">
        <w:rPr>
          <w:b w:val="0"/>
          <w:color w:val="auto"/>
          <w:sz w:val="22"/>
          <w:szCs w:val="22"/>
        </w:rPr>
        <w:t>(s)</w:t>
      </w:r>
      <w:r w:rsidR="00C80AAA">
        <w:rPr>
          <w:b w:val="0"/>
          <w:color w:val="auto"/>
          <w:sz w:val="22"/>
          <w:szCs w:val="22"/>
        </w:rPr>
        <w:t>.</w:t>
      </w:r>
    </w:p>
    <w:p w14:paraId="1FBCD9E2" w14:textId="24FFEF4F" w:rsidR="001512E3" w:rsidRDefault="00FC0F77" w:rsidP="00405BF2">
      <w:pPr>
        <w:pStyle w:val="HQOSUBHEADS"/>
        <w:numPr>
          <w:ilvl w:val="0"/>
          <w:numId w:val="12"/>
        </w:numPr>
        <w:spacing w:before="120"/>
        <w:ind w:left="540" w:hanging="270"/>
        <w:rPr>
          <w:b w:val="0"/>
          <w:color w:val="auto"/>
          <w:sz w:val="22"/>
          <w:szCs w:val="22"/>
        </w:rPr>
      </w:pPr>
      <w:r w:rsidRPr="00FC0F77">
        <w:rPr>
          <w:b w:val="0"/>
          <w:color w:val="auto"/>
          <w:sz w:val="22"/>
          <w:szCs w:val="22"/>
        </w:rPr>
        <w:t xml:space="preserve">Determine if </w:t>
      </w:r>
      <w:r>
        <w:rPr>
          <w:b w:val="0"/>
          <w:color w:val="auto"/>
          <w:sz w:val="22"/>
          <w:szCs w:val="22"/>
        </w:rPr>
        <w:t xml:space="preserve">you would use this legal protection to manage your </w:t>
      </w:r>
      <w:r w:rsidR="005177A6">
        <w:rPr>
          <w:b w:val="0"/>
          <w:color w:val="auto"/>
          <w:sz w:val="22"/>
          <w:szCs w:val="22"/>
        </w:rPr>
        <w:t>p</w:t>
      </w:r>
      <w:r>
        <w:rPr>
          <w:b w:val="0"/>
          <w:color w:val="auto"/>
          <w:sz w:val="22"/>
          <w:szCs w:val="22"/>
        </w:rPr>
        <w:t xml:space="preserve">eer </w:t>
      </w:r>
      <w:r w:rsidR="005177A6">
        <w:rPr>
          <w:b w:val="0"/>
          <w:color w:val="auto"/>
          <w:sz w:val="22"/>
          <w:szCs w:val="22"/>
        </w:rPr>
        <w:t>l</w:t>
      </w:r>
      <w:r>
        <w:rPr>
          <w:b w:val="0"/>
          <w:color w:val="auto"/>
          <w:sz w:val="22"/>
          <w:szCs w:val="22"/>
        </w:rPr>
        <w:t xml:space="preserve">earning </w:t>
      </w:r>
      <w:r w:rsidR="005177A6">
        <w:rPr>
          <w:b w:val="0"/>
          <w:color w:val="auto"/>
          <w:sz w:val="22"/>
          <w:szCs w:val="22"/>
        </w:rPr>
        <w:t>p</w:t>
      </w:r>
      <w:r>
        <w:rPr>
          <w:b w:val="0"/>
          <w:color w:val="auto"/>
          <w:sz w:val="22"/>
          <w:szCs w:val="22"/>
        </w:rPr>
        <w:t>rogram data</w:t>
      </w:r>
      <w:r w:rsidR="005177A6">
        <w:rPr>
          <w:b w:val="0"/>
          <w:color w:val="auto"/>
          <w:sz w:val="22"/>
          <w:szCs w:val="22"/>
        </w:rPr>
        <w:t>.</w:t>
      </w:r>
    </w:p>
    <w:p w14:paraId="41AB6277" w14:textId="09AA360C" w:rsidR="004E1C34" w:rsidRPr="00F13A34" w:rsidRDefault="000E69B4" w:rsidP="00F13A34">
      <w:pPr>
        <w:pStyle w:val="HQOSUBHEADS"/>
        <w:spacing w:before="120"/>
        <w:ind w:left="540"/>
        <w:rPr>
          <w:b w:val="0"/>
          <w:i/>
          <w:color w:val="auto"/>
          <w:sz w:val="22"/>
          <w:szCs w:val="22"/>
        </w:rPr>
      </w:pPr>
      <w:r w:rsidRPr="00F13A34">
        <w:rPr>
          <w:i/>
          <w:color w:val="auto"/>
          <w:sz w:val="22"/>
          <w:szCs w:val="22"/>
        </w:rPr>
        <w:t>Note:</w:t>
      </w:r>
      <w:r w:rsidRPr="00F13A34">
        <w:rPr>
          <w:b w:val="0"/>
          <w:i/>
          <w:color w:val="auto"/>
          <w:sz w:val="22"/>
          <w:szCs w:val="22"/>
        </w:rPr>
        <w:t xml:space="preserve"> </w:t>
      </w:r>
      <w:r w:rsidR="009E3808">
        <w:rPr>
          <w:b w:val="0"/>
          <w:i/>
          <w:color w:val="auto"/>
          <w:sz w:val="22"/>
          <w:szCs w:val="22"/>
        </w:rPr>
        <w:t xml:space="preserve">If </w:t>
      </w:r>
      <w:r w:rsidR="00A96CD1">
        <w:rPr>
          <w:b w:val="0"/>
          <w:i/>
          <w:color w:val="auto"/>
          <w:sz w:val="22"/>
          <w:szCs w:val="22"/>
        </w:rPr>
        <w:t>Common Law Privilege</w:t>
      </w:r>
      <w:r w:rsidR="009E3808">
        <w:rPr>
          <w:b w:val="0"/>
          <w:i/>
          <w:color w:val="auto"/>
          <w:sz w:val="22"/>
          <w:szCs w:val="22"/>
        </w:rPr>
        <w:t xml:space="preserve"> is the legal protection chosen for your </w:t>
      </w:r>
      <w:r w:rsidR="00A96CD1">
        <w:rPr>
          <w:b w:val="0"/>
          <w:i/>
          <w:color w:val="auto"/>
          <w:sz w:val="22"/>
          <w:szCs w:val="22"/>
        </w:rPr>
        <w:t>peer learning program, t</w:t>
      </w:r>
      <w:r w:rsidR="00F0482E" w:rsidRPr="00F13A34">
        <w:rPr>
          <w:b w:val="0"/>
          <w:i/>
          <w:color w:val="auto"/>
          <w:sz w:val="22"/>
          <w:szCs w:val="22"/>
        </w:rPr>
        <w:t xml:space="preserve">he </w:t>
      </w:r>
      <w:r w:rsidR="00F17200" w:rsidRPr="00F13A34">
        <w:rPr>
          <w:b w:val="0"/>
          <w:i/>
          <w:color w:val="auto"/>
          <w:sz w:val="22"/>
          <w:szCs w:val="22"/>
        </w:rPr>
        <w:t>criteria listed in the table below would have to be applied to every instance where data</w:t>
      </w:r>
      <w:r w:rsidRPr="00F13A34">
        <w:rPr>
          <w:b w:val="0"/>
          <w:i/>
          <w:color w:val="auto"/>
          <w:sz w:val="22"/>
          <w:szCs w:val="22"/>
        </w:rPr>
        <w:t xml:space="preserve"> is generated in the peer learning program for it to be covered by the Wigmore Crit</w:t>
      </w:r>
      <w:r w:rsidR="000F00EA" w:rsidRPr="00F13A34">
        <w:rPr>
          <w:b w:val="0"/>
          <w:i/>
          <w:color w:val="auto"/>
          <w:sz w:val="22"/>
          <w:szCs w:val="22"/>
        </w:rPr>
        <w:t>eria.</w:t>
      </w:r>
    </w:p>
    <w:p w14:paraId="4C3DBEA8" w14:textId="77777777" w:rsidR="001512E3" w:rsidRPr="00F13A34" w:rsidRDefault="001512E3" w:rsidP="001512E3">
      <w:pPr>
        <w:pStyle w:val="HQOSUBHEADS"/>
        <w:ind w:left="450"/>
        <w:rPr>
          <w:i/>
          <w:color w:val="auto"/>
          <w:sz w:val="22"/>
          <w:szCs w:val="22"/>
        </w:rPr>
      </w:pPr>
    </w:p>
    <w:tbl>
      <w:tblPr>
        <w:tblStyle w:val="TableGrid"/>
        <w:tblW w:w="5000" w:type="pct"/>
        <w:tblLook w:val="04A0" w:firstRow="1" w:lastRow="0" w:firstColumn="1" w:lastColumn="0" w:noHBand="0" w:noVBand="1"/>
      </w:tblPr>
      <w:tblGrid>
        <w:gridCol w:w="9926"/>
      </w:tblGrid>
      <w:tr w:rsidR="001512E3" w:rsidRPr="005C6B99" w14:paraId="0A14AB5F" w14:textId="77777777" w:rsidTr="00F13A34">
        <w:trPr>
          <w:trHeight w:val="133"/>
        </w:trPr>
        <w:tc>
          <w:tcPr>
            <w:tcW w:w="5000" w:type="pct"/>
            <w:shd w:val="clear" w:color="auto" w:fill="00788A"/>
          </w:tcPr>
          <w:p w14:paraId="086AF3B9" w14:textId="1F0C0F68" w:rsidR="001512E3" w:rsidRPr="005C6B99" w:rsidRDefault="001512E3" w:rsidP="00F13A34">
            <w:pPr>
              <w:pStyle w:val="HQOSUBHEADS"/>
              <w:spacing w:before="120" w:after="120"/>
              <w:rPr>
                <w:b w:val="0"/>
                <w:color w:val="0070C0"/>
                <w:sz w:val="22"/>
                <w:szCs w:val="22"/>
              </w:rPr>
            </w:pPr>
            <w:r w:rsidRPr="005C6B99">
              <w:rPr>
                <w:color w:val="FFFFFF" w:themeColor="background1"/>
                <w:sz w:val="22"/>
                <w:szCs w:val="22"/>
              </w:rPr>
              <w:t>Quick Facts</w:t>
            </w:r>
          </w:p>
        </w:tc>
      </w:tr>
      <w:tr w:rsidR="008A3DD7" w:rsidRPr="005C6B99" w14:paraId="4DB349EE" w14:textId="77777777" w:rsidTr="00F13A34">
        <w:trPr>
          <w:trHeight w:val="395"/>
        </w:trPr>
        <w:tc>
          <w:tcPr>
            <w:tcW w:w="5000" w:type="pct"/>
            <w:shd w:val="clear" w:color="auto" w:fill="D9D9D9" w:themeFill="background1" w:themeFillShade="D9"/>
            <w:vAlign w:val="center"/>
          </w:tcPr>
          <w:p w14:paraId="2DD489B2" w14:textId="3138B011" w:rsidR="008A3DD7" w:rsidRPr="008A3DD7" w:rsidRDefault="008A3DD7" w:rsidP="00B020F4">
            <w:pPr>
              <w:pStyle w:val="Default"/>
              <w:spacing w:before="100" w:beforeAutospacing="1"/>
              <w:rPr>
                <w:b/>
                <w:color w:val="auto"/>
                <w:sz w:val="22"/>
                <w:szCs w:val="22"/>
              </w:rPr>
            </w:pPr>
            <w:r w:rsidRPr="008A3DD7">
              <w:rPr>
                <w:b/>
                <w:color w:val="auto"/>
                <w:sz w:val="22"/>
                <w:szCs w:val="22"/>
              </w:rPr>
              <w:t>Requirements for the Establishment of Privilege</w:t>
            </w:r>
          </w:p>
        </w:tc>
      </w:tr>
      <w:tr w:rsidR="008A3DD7" w:rsidRPr="005C6B99" w14:paraId="1DF8E2EA" w14:textId="77777777" w:rsidTr="00F13A34">
        <w:trPr>
          <w:trHeight w:val="4550"/>
        </w:trPr>
        <w:tc>
          <w:tcPr>
            <w:tcW w:w="5000" w:type="pct"/>
            <w:shd w:val="clear" w:color="auto" w:fill="auto"/>
          </w:tcPr>
          <w:p w14:paraId="6A0D16FA" w14:textId="6A100B4F" w:rsidR="00D70D35" w:rsidRPr="00D70D35" w:rsidRDefault="00486645" w:rsidP="00F13A34">
            <w:pPr>
              <w:pStyle w:val="HQOTEXT"/>
              <w:spacing w:before="60"/>
              <w:rPr>
                <w:b/>
                <w:color w:val="auto"/>
              </w:rPr>
            </w:pPr>
            <w:r>
              <w:t>In Slavutych v. Baker, [1976] 1 SCR 254</w:t>
            </w:r>
            <w:r w:rsidR="00A23FF7">
              <w:t>,</w:t>
            </w:r>
            <w:r w:rsidR="004314B1">
              <w:rPr>
                <w:rStyle w:val="EndnoteReference"/>
              </w:rPr>
              <w:endnoteReference w:id="1"/>
            </w:r>
            <w:r>
              <w:t xml:space="preserve"> t</w:t>
            </w:r>
            <w:r w:rsidR="00CB4C62">
              <w:t xml:space="preserve">he Supreme Court of Canada expressed </w:t>
            </w:r>
            <w:r>
              <w:t>the Wigmore Criteria in</w:t>
            </w:r>
            <w:r w:rsidR="00B911B3">
              <w:t xml:space="preserve"> the</w:t>
            </w:r>
            <w:r>
              <w:t xml:space="preserve"> following manner:</w:t>
            </w:r>
          </w:p>
          <w:p w14:paraId="7BDE51DA" w14:textId="77777777" w:rsidR="00E24496" w:rsidRDefault="00E24496" w:rsidP="00E24496">
            <w:pPr>
              <w:pStyle w:val="HQOTEXT"/>
              <w:numPr>
                <w:ilvl w:val="0"/>
                <w:numId w:val="15"/>
              </w:numPr>
              <w:spacing w:before="120"/>
              <w:ind w:left="798" w:hanging="425"/>
            </w:pPr>
            <w:r>
              <w:t>The communications must originate in confidence that they will not be disclosed.</w:t>
            </w:r>
          </w:p>
          <w:p w14:paraId="1AF70585" w14:textId="77777777" w:rsidR="00E24496" w:rsidRDefault="00E24496" w:rsidP="00E24496">
            <w:pPr>
              <w:pStyle w:val="HQOTEXT"/>
              <w:numPr>
                <w:ilvl w:val="0"/>
                <w:numId w:val="15"/>
              </w:numPr>
              <w:spacing w:before="120"/>
              <w:ind w:left="798" w:hanging="438"/>
            </w:pPr>
            <w:r>
              <w:t>This element of confidentiality must be essential to the full and satisfactory maintenance of the relations between the parties.</w:t>
            </w:r>
          </w:p>
          <w:p w14:paraId="119B7365" w14:textId="77777777" w:rsidR="00E24496" w:rsidRDefault="00E24496" w:rsidP="00E24496">
            <w:pPr>
              <w:pStyle w:val="HQOTEXT"/>
              <w:numPr>
                <w:ilvl w:val="0"/>
                <w:numId w:val="15"/>
              </w:numPr>
              <w:spacing w:before="120"/>
              <w:ind w:left="798" w:hanging="438"/>
            </w:pPr>
            <w:r>
              <w:t>The relation must be one in which the opinion of the community ought to be sedulously fostered.</w:t>
            </w:r>
          </w:p>
          <w:p w14:paraId="13A6A663" w14:textId="77777777" w:rsidR="00E24496" w:rsidRDefault="00E24496" w:rsidP="00E24496">
            <w:pPr>
              <w:pStyle w:val="HQOTEXT"/>
              <w:numPr>
                <w:ilvl w:val="0"/>
                <w:numId w:val="15"/>
              </w:numPr>
              <w:spacing w:before="120"/>
              <w:ind w:left="798" w:hanging="438"/>
            </w:pPr>
            <w:r>
              <w:t>The injury that would inure to the relation by the disclosure of the communication must be greater than the benefit thereby gained for the correct disposal of litigation.</w:t>
            </w:r>
          </w:p>
          <w:p w14:paraId="10FB9111" w14:textId="5054F15C" w:rsidR="00B911B3" w:rsidRPr="00B911B3" w:rsidRDefault="003C6629" w:rsidP="00F13A34">
            <w:pPr>
              <w:pStyle w:val="HQOTEXT"/>
              <w:tabs>
                <w:tab w:val="left" w:pos="450"/>
              </w:tabs>
              <w:spacing w:before="160"/>
              <w:rPr>
                <w:color w:val="auto"/>
              </w:rPr>
            </w:pPr>
            <w:r>
              <w:t xml:space="preserve">Establishing </w:t>
            </w:r>
            <w:r w:rsidR="00B911B3">
              <w:rPr>
                <w:color w:val="auto"/>
              </w:rPr>
              <w:t xml:space="preserve">privilege and protection of </w:t>
            </w:r>
            <w:r>
              <w:rPr>
                <w:color w:val="auto"/>
              </w:rPr>
              <w:t>q</w:t>
            </w:r>
            <w:r w:rsidR="00B911B3">
              <w:rPr>
                <w:color w:val="auto"/>
              </w:rPr>
              <w:t xml:space="preserve">uality </w:t>
            </w:r>
            <w:r>
              <w:rPr>
                <w:color w:val="auto"/>
              </w:rPr>
              <w:t>a</w:t>
            </w:r>
            <w:r w:rsidR="00B911B3">
              <w:rPr>
                <w:color w:val="auto"/>
              </w:rPr>
              <w:t>ssurance information is made on a case-by-case basis using the above criteria to balance the privacy of information against fairness in legal proceedings.</w:t>
            </w:r>
            <w:r w:rsidR="008E1722">
              <w:rPr>
                <w:color w:val="auto"/>
              </w:rPr>
              <w:t xml:space="preserve"> Under the fourth Wigmore criterion, the courts must balance the interest in maintaining privilege against the interest of purs</w:t>
            </w:r>
            <w:r w:rsidR="008E1722" w:rsidRPr="00EC512E">
              <w:rPr>
                <w:color w:val="auto"/>
              </w:rPr>
              <w:t xml:space="preserve">uing the truth based on the circumstances presented in any proceeding. </w:t>
            </w:r>
            <w:r w:rsidR="00EC512E" w:rsidRPr="00EC512E">
              <w:t xml:space="preserve">Under this protection, documents that meet </w:t>
            </w:r>
            <w:r w:rsidR="00EC512E" w:rsidRPr="00F13A34">
              <w:t>all of</w:t>
            </w:r>
            <w:r w:rsidR="00EC512E" w:rsidRPr="00EC512E">
              <w:t xml:space="preserve"> the following criteria would be classified as privileged and protected.</w:t>
            </w:r>
          </w:p>
        </w:tc>
      </w:tr>
      <w:tr w:rsidR="008A3DD7" w:rsidRPr="005C6B99" w14:paraId="251ECD01" w14:textId="77777777" w:rsidTr="00F13A34">
        <w:trPr>
          <w:trHeight w:val="133"/>
        </w:trPr>
        <w:tc>
          <w:tcPr>
            <w:tcW w:w="5000" w:type="pct"/>
            <w:shd w:val="clear" w:color="auto" w:fill="D9D9D9" w:themeFill="background1" w:themeFillShade="D9"/>
            <w:vAlign w:val="center"/>
          </w:tcPr>
          <w:p w14:paraId="4E547BCD" w14:textId="77777777" w:rsidR="00B020F4" w:rsidRPr="00B020F4" w:rsidRDefault="00B020F4" w:rsidP="00B020F4">
            <w:pPr>
              <w:pStyle w:val="Default"/>
              <w:rPr>
                <w:b/>
                <w:color w:val="auto"/>
                <w:sz w:val="6"/>
                <w:szCs w:val="6"/>
              </w:rPr>
            </w:pPr>
          </w:p>
          <w:p w14:paraId="4A05E4C9" w14:textId="7EFBF2DD" w:rsidR="00B020F4" w:rsidRDefault="009141E9" w:rsidP="00B020F4">
            <w:pPr>
              <w:pStyle w:val="Default"/>
              <w:rPr>
                <w:b/>
                <w:color w:val="auto"/>
                <w:sz w:val="22"/>
                <w:szCs w:val="22"/>
              </w:rPr>
            </w:pPr>
            <w:r>
              <w:rPr>
                <w:b/>
                <w:color w:val="auto"/>
                <w:sz w:val="22"/>
                <w:szCs w:val="22"/>
              </w:rPr>
              <w:t xml:space="preserve">Example </w:t>
            </w:r>
            <w:r w:rsidR="008A3DD7" w:rsidRPr="008A3DD7">
              <w:rPr>
                <w:b/>
                <w:color w:val="auto"/>
                <w:sz w:val="22"/>
                <w:szCs w:val="22"/>
              </w:rPr>
              <w:t>Applic</w:t>
            </w:r>
            <w:r w:rsidR="002B02B3">
              <w:rPr>
                <w:b/>
                <w:color w:val="auto"/>
                <w:sz w:val="22"/>
                <w:szCs w:val="22"/>
              </w:rPr>
              <w:t xml:space="preserve">ation to </w:t>
            </w:r>
            <w:r w:rsidR="00782654">
              <w:rPr>
                <w:b/>
                <w:color w:val="auto"/>
                <w:sz w:val="22"/>
                <w:szCs w:val="22"/>
              </w:rPr>
              <w:t>a Diagnostic Imaging</w:t>
            </w:r>
            <w:r w:rsidR="00782654" w:rsidRPr="008A3DD7">
              <w:rPr>
                <w:b/>
                <w:color w:val="auto"/>
                <w:sz w:val="22"/>
                <w:szCs w:val="22"/>
              </w:rPr>
              <w:t xml:space="preserve"> </w:t>
            </w:r>
            <w:r w:rsidR="008A3DD7" w:rsidRPr="008A3DD7">
              <w:rPr>
                <w:b/>
                <w:color w:val="auto"/>
                <w:sz w:val="22"/>
                <w:szCs w:val="22"/>
              </w:rPr>
              <w:t>Peer Learning Program</w:t>
            </w:r>
          </w:p>
          <w:p w14:paraId="7296FAC2" w14:textId="2E889D43" w:rsidR="00B020F4" w:rsidRPr="00B020F4" w:rsidRDefault="00B020F4" w:rsidP="00B020F4">
            <w:pPr>
              <w:pStyle w:val="Default"/>
              <w:rPr>
                <w:b/>
                <w:color w:val="auto"/>
                <w:sz w:val="6"/>
                <w:szCs w:val="6"/>
              </w:rPr>
            </w:pPr>
          </w:p>
        </w:tc>
      </w:tr>
      <w:tr w:rsidR="008A3DD7" w:rsidRPr="005C6B99" w14:paraId="2ED4B9EA" w14:textId="77777777" w:rsidTr="00F13A34">
        <w:trPr>
          <w:trHeight w:val="133"/>
        </w:trPr>
        <w:tc>
          <w:tcPr>
            <w:tcW w:w="5000" w:type="pct"/>
            <w:shd w:val="clear" w:color="auto" w:fill="auto"/>
          </w:tcPr>
          <w:p w14:paraId="47626674" w14:textId="1788E2DA" w:rsidR="008A3DD7" w:rsidRDefault="00F14087" w:rsidP="00F13A34">
            <w:pPr>
              <w:pStyle w:val="HQOTEXT"/>
              <w:spacing w:before="60"/>
            </w:pPr>
            <w:r>
              <w:t>In November 2002, the Ontario Superior Court of Justice released a judgement that supported arguments around quality assurance reports prepared by a quality assurance subcommittee as being privileged and confidential</w:t>
            </w:r>
            <w:r w:rsidR="00782654">
              <w:t>.</w:t>
            </w:r>
            <w:r>
              <w:t xml:space="preserve"> In the case of </w:t>
            </w:r>
            <w:r w:rsidRPr="00F14087">
              <w:t>Steep (Litigation Guardian of) v. Scott (2003), 62 O.R. (3d) 173</w:t>
            </w:r>
            <w:r>
              <w:t xml:space="preserve">, </w:t>
            </w:r>
            <w:r w:rsidR="00324776">
              <w:t>the plaintiffs requested production of two quality assurance reports from Kingston General Hospital that was dismissed by the court. Furthermore, the court sought to establish privilege by applying the four Wigmore Criteria as follows</w:t>
            </w:r>
            <w:r w:rsidR="00B14ECB">
              <w:rPr>
                <w:rStyle w:val="EndnoteReference"/>
              </w:rPr>
              <w:endnoteReference w:id="2"/>
            </w:r>
            <w:r w:rsidR="006E2E4E">
              <w:t>:</w:t>
            </w:r>
          </w:p>
          <w:p w14:paraId="182201A2" w14:textId="376182DE" w:rsidR="006A1829" w:rsidRDefault="006E2E4E" w:rsidP="002E16DA">
            <w:pPr>
              <w:pStyle w:val="HQOTEXT"/>
              <w:numPr>
                <w:ilvl w:val="0"/>
                <w:numId w:val="16"/>
              </w:numPr>
              <w:spacing w:before="120"/>
              <w:ind w:left="738"/>
            </w:pPr>
            <w:r>
              <w:t>The communications must originate in confidence that they will not be disclosed</w:t>
            </w:r>
            <w:r w:rsidR="00772977">
              <w:t>.</w:t>
            </w:r>
          </w:p>
          <w:p w14:paraId="08665C31" w14:textId="7D1F34B6" w:rsidR="00F76E24" w:rsidRPr="00F13A34" w:rsidRDefault="006A1829" w:rsidP="00F13A34">
            <w:pPr>
              <w:pStyle w:val="HQOTEXT"/>
              <w:numPr>
                <w:ilvl w:val="0"/>
                <w:numId w:val="19"/>
              </w:numPr>
              <w:spacing w:before="120"/>
              <w:rPr>
                <w:i/>
              </w:rPr>
            </w:pPr>
            <w:r w:rsidRPr="00F13A34">
              <w:rPr>
                <w:i/>
              </w:rPr>
              <w:t>T</w:t>
            </w:r>
            <w:r w:rsidR="00F76E24" w:rsidRPr="00F13A34">
              <w:rPr>
                <w:i/>
              </w:rPr>
              <w:t xml:space="preserve">he court was able to conclude that the hospital in question conducted peer quality reviews in confidence. It is therefore recommended that all peer reviews and communication resulting from the </w:t>
            </w:r>
            <w:r w:rsidR="00772977" w:rsidRPr="00F13A34">
              <w:rPr>
                <w:i/>
              </w:rPr>
              <w:t>p</w:t>
            </w:r>
            <w:r w:rsidR="00F76E24" w:rsidRPr="00F13A34">
              <w:rPr>
                <w:i/>
              </w:rPr>
              <w:t xml:space="preserve">eer </w:t>
            </w:r>
            <w:r w:rsidR="00772977" w:rsidRPr="00F13A34">
              <w:rPr>
                <w:i/>
              </w:rPr>
              <w:t>l</w:t>
            </w:r>
            <w:r w:rsidR="00F76E24" w:rsidRPr="00F13A34">
              <w:rPr>
                <w:i/>
              </w:rPr>
              <w:t xml:space="preserve">earning </w:t>
            </w:r>
            <w:r w:rsidR="00772977" w:rsidRPr="00F13A34">
              <w:rPr>
                <w:i/>
              </w:rPr>
              <w:t>p</w:t>
            </w:r>
            <w:r w:rsidR="00F76E24" w:rsidRPr="00F13A34">
              <w:rPr>
                <w:i/>
              </w:rPr>
              <w:t>rogram be conducted in confidence and marked as “</w:t>
            </w:r>
            <w:r w:rsidR="00F76E24" w:rsidRPr="00772977">
              <w:rPr>
                <w:i/>
              </w:rPr>
              <w:t xml:space="preserve">privileged and confidential” </w:t>
            </w:r>
            <w:r w:rsidR="00F76E24" w:rsidRPr="00F13A34">
              <w:rPr>
                <w:i/>
              </w:rPr>
              <w:t>where applicable</w:t>
            </w:r>
            <w:r w:rsidR="00772977" w:rsidRPr="00F13A34">
              <w:rPr>
                <w:i/>
              </w:rPr>
              <w:t>.</w:t>
            </w:r>
          </w:p>
          <w:p w14:paraId="7311DADA" w14:textId="1304C153" w:rsidR="00772977" w:rsidRDefault="006E2E4E" w:rsidP="002E16DA">
            <w:pPr>
              <w:pStyle w:val="HQOTEXT"/>
              <w:numPr>
                <w:ilvl w:val="0"/>
                <w:numId w:val="16"/>
              </w:numPr>
              <w:spacing w:before="120"/>
              <w:ind w:left="738"/>
            </w:pPr>
            <w:r>
              <w:t>This element of confidentiality must be essential to the full and satisfactory maintenance of th</w:t>
            </w:r>
            <w:r w:rsidR="00F76E24">
              <w:t>e relations between the parties</w:t>
            </w:r>
            <w:r w:rsidR="00772977">
              <w:t>.</w:t>
            </w:r>
          </w:p>
          <w:p w14:paraId="77B076C3" w14:textId="60A3D929" w:rsidR="001767F5" w:rsidRPr="00F13A34" w:rsidRDefault="001767F5" w:rsidP="00F13A34">
            <w:pPr>
              <w:pStyle w:val="HQOTEXT"/>
              <w:numPr>
                <w:ilvl w:val="0"/>
                <w:numId w:val="19"/>
              </w:numPr>
              <w:spacing w:before="120"/>
              <w:rPr>
                <w:i/>
              </w:rPr>
            </w:pPr>
            <w:r w:rsidRPr="00F13A34">
              <w:rPr>
                <w:i/>
              </w:rPr>
              <w:t>The court was able to ensure that medical staff and the quality assurance committee would not be able to have open and candid conversations if confidentiality were not guaranteed.</w:t>
            </w:r>
          </w:p>
          <w:p w14:paraId="38A764C2" w14:textId="3AB29C15" w:rsidR="001767F5" w:rsidRDefault="006E2E4E" w:rsidP="002E16DA">
            <w:pPr>
              <w:pStyle w:val="HQOTEXT"/>
              <w:numPr>
                <w:ilvl w:val="0"/>
                <w:numId w:val="16"/>
              </w:numPr>
              <w:spacing w:before="120"/>
              <w:ind w:left="738"/>
            </w:pPr>
            <w:r>
              <w:lastRenderedPageBreak/>
              <w:t>The relation must be one which in the opinion of the community ough</w:t>
            </w:r>
            <w:r w:rsidR="007A1C93">
              <w:t>t to be sedulously fostered</w:t>
            </w:r>
            <w:r w:rsidR="001767F5">
              <w:t>.</w:t>
            </w:r>
          </w:p>
          <w:p w14:paraId="4B78C40F" w14:textId="49E4BE2A" w:rsidR="00D57B88" w:rsidRPr="00F13A34" w:rsidRDefault="00D57B88" w:rsidP="00F13A34">
            <w:pPr>
              <w:pStyle w:val="HQOTEXT"/>
              <w:numPr>
                <w:ilvl w:val="0"/>
                <w:numId w:val="19"/>
              </w:numPr>
              <w:spacing w:before="120"/>
              <w:rPr>
                <w:i/>
              </w:rPr>
            </w:pPr>
            <w:r w:rsidRPr="00F13A34">
              <w:rPr>
                <w:i/>
              </w:rPr>
              <w:t>The court was able to further establish that the open exchange of information</w:t>
            </w:r>
            <w:r w:rsidR="00C72AE7" w:rsidRPr="00F13A34">
              <w:rPr>
                <w:i/>
              </w:rPr>
              <w:t>—</w:t>
            </w:r>
            <w:r w:rsidRPr="00F13A34">
              <w:rPr>
                <w:i/>
              </w:rPr>
              <w:t>given the assurance of confidentiality</w:t>
            </w:r>
            <w:r w:rsidR="00C72AE7" w:rsidRPr="00F13A34">
              <w:rPr>
                <w:i/>
              </w:rPr>
              <w:t>—</w:t>
            </w:r>
            <w:r w:rsidRPr="00F13A34">
              <w:rPr>
                <w:i/>
              </w:rPr>
              <w:t xml:space="preserve">was a key success factor in conducting peer reviews, which </w:t>
            </w:r>
            <w:r w:rsidR="00FF5F35" w:rsidRPr="00F13A34">
              <w:rPr>
                <w:i/>
              </w:rPr>
              <w:t xml:space="preserve">then </w:t>
            </w:r>
            <w:r w:rsidRPr="00F13A34">
              <w:rPr>
                <w:i/>
              </w:rPr>
              <w:t>resulted in improving the quality of care</w:t>
            </w:r>
            <w:r w:rsidR="00FF5F35" w:rsidRPr="00F13A34">
              <w:rPr>
                <w:i/>
              </w:rPr>
              <w:t>.</w:t>
            </w:r>
          </w:p>
          <w:p w14:paraId="3DE5C4A7" w14:textId="7C7B176B" w:rsidR="00FF5F35" w:rsidRDefault="006E2E4E" w:rsidP="002E16DA">
            <w:pPr>
              <w:pStyle w:val="HQOTEXT"/>
              <w:numPr>
                <w:ilvl w:val="0"/>
                <w:numId w:val="16"/>
              </w:numPr>
              <w:spacing w:before="120"/>
              <w:ind w:left="738"/>
            </w:pPr>
            <w:r>
              <w:t>The injury that would inure to the relation by the disclosure of the communication must be greater than the benefit thereby gained for the correct disposal of litigation</w:t>
            </w:r>
            <w:r w:rsidR="00FF5F35">
              <w:t>.</w:t>
            </w:r>
          </w:p>
          <w:p w14:paraId="21A37D34" w14:textId="0695610E" w:rsidR="006E2E4E" w:rsidRPr="00F13A34" w:rsidRDefault="00FF5F35" w:rsidP="00F13A34">
            <w:pPr>
              <w:pStyle w:val="HQOTEXT"/>
              <w:numPr>
                <w:ilvl w:val="0"/>
                <w:numId w:val="19"/>
              </w:numPr>
              <w:spacing w:before="120"/>
              <w:rPr>
                <w:i/>
              </w:rPr>
            </w:pPr>
            <w:r w:rsidRPr="00F13A34">
              <w:rPr>
                <w:i/>
              </w:rPr>
              <w:t>T</w:t>
            </w:r>
            <w:r w:rsidR="00B67D36" w:rsidRPr="00F13A34">
              <w:rPr>
                <w:i/>
              </w:rPr>
              <w:t>he court was able to determine that the information sought by the plaintiffs</w:t>
            </w:r>
            <w:r w:rsidR="004514AB" w:rsidRPr="00F13A34">
              <w:rPr>
                <w:i/>
              </w:rPr>
              <w:t xml:space="preserve"> was</w:t>
            </w:r>
            <w:r w:rsidR="00B67D36" w:rsidRPr="00F13A34">
              <w:rPr>
                <w:i/>
              </w:rPr>
              <w:t xml:space="preserve"> available to them </w:t>
            </w:r>
            <w:r w:rsidR="004514AB" w:rsidRPr="00F13A34">
              <w:rPr>
                <w:i/>
              </w:rPr>
              <w:t>by other means and did not require the defendant to disclose its quality assurance reports. Therefore, the benefit of maintaining confidentiality of the quality assurance reviews did not have an impact on disclosure in this case as the information requested by the plaintiffs would be accessible through other means.</w:t>
            </w:r>
          </w:p>
          <w:p w14:paraId="10D66601" w14:textId="4597454C" w:rsidR="004514AB" w:rsidRDefault="004514AB" w:rsidP="006E2E4E">
            <w:pPr>
              <w:pStyle w:val="HQOTEXT"/>
              <w:ind w:left="173"/>
            </w:pPr>
          </w:p>
          <w:p w14:paraId="574A56EA" w14:textId="73381BEC" w:rsidR="004514AB" w:rsidRDefault="00AC3AC0" w:rsidP="006E2E4E">
            <w:pPr>
              <w:pStyle w:val="HQOTEXT"/>
              <w:ind w:left="173"/>
            </w:pPr>
            <w:r w:rsidRPr="00F13A34">
              <w:rPr>
                <w:b/>
              </w:rPr>
              <w:t>Risk Management Implications</w:t>
            </w:r>
            <w:r>
              <w:t xml:space="preserve"> (based on the above case)</w:t>
            </w:r>
            <w:r w:rsidR="004514AB">
              <w:t>:</w:t>
            </w:r>
          </w:p>
          <w:p w14:paraId="7485A579" w14:textId="0B74437C" w:rsidR="004514AB" w:rsidRDefault="004514AB" w:rsidP="00F13A34">
            <w:pPr>
              <w:pStyle w:val="HQOTEXT"/>
              <w:numPr>
                <w:ilvl w:val="0"/>
                <w:numId w:val="17"/>
              </w:numPr>
              <w:spacing w:before="120"/>
            </w:pPr>
            <w:r>
              <w:t xml:space="preserve">Communication generated within the </w:t>
            </w:r>
            <w:r w:rsidR="00701587">
              <w:t>p</w:t>
            </w:r>
            <w:r>
              <w:t xml:space="preserve">eer </w:t>
            </w:r>
            <w:r w:rsidR="00701587">
              <w:t>l</w:t>
            </w:r>
            <w:r>
              <w:t xml:space="preserve">earning </w:t>
            </w:r>
            <w:r w:rsidR="00701587">
              <w:t>p</w:t>
            </w:r>
            <w:r>
              <w:t>rogram will be p</w:t>
            </w:r>
            <w:r w:rsidR="00EE545A">
              <w:t xml:space="preserve">rotected only if </w:t>
            </w:r>
            <w:r w:rsidR="00701587">
              <w:t xml:space="preserve">all </w:t>
            </w:r>
            <w:r w:rsidR="00EE545A">
              <w:t>four Wigmore’s criteria are met in each case</w:t>
            </w:r>
            <w:r w:rsidR="00701587">
              <w:t>.</w:t>
            </w:r>
          </w:p>
          <w:p w14:paraId="21961315" w14:textId="13F4B4F2" w:rsidR="00EE545A" w:rsidRDefault="00EE545A" w:rsidP="00F13A34">
            <w:pPr>
              <w:pStyle w:val="HQOTEXT"/>
              <w:numPr>
                <w:ilvl w:val="0"/>
                <w:numId w:val="17"/>
              </w:numPr>
              <w:spacing w:before="120"/>
            </w:pPr>
            <w:r>
              <w:t xml:space="preserve">Individuals in the </w:t>
            </w:r>
            <w:r w:rsidR="00701587">
              <w:t>p</w:t>
            </w:r>
            <w:r>
              <w:t xml:space="preserve">eer </w:t>
            </w:r>
            <w:r w:rsidR="00701587">
              <w:t>l</w:t>
            </w:r>
            <w:r>
              <w:t xml:space="preserve">earning </w:t>
            </w:r>
            <w:r w:rsidR="00701587">
              <w:t>p</w:t>
            </w:r>
            <w:r>
              <w:t>rogram that are providing information as part of the process should be advised that the information will be kept confidential</w:t>
            </w:r>
            <w:r w:rsidR="00701587">
              <w:t>.</w:t>
            </w:r>
          </w:p>
          <w:p w14:paraId="4668E522" w14:textId="2C22E991" w:rsidR="00EE545A" w:rsidRDefault="00EE545A" w:rsidP="00F13A34">
            <w:pPr>
              <w:pStyle w:val="HQOTEXT"/>
              <w:numPr>
                <w:ilvl w:val="0"/>
                <w:numId w:val="17"/>
              </w:numPr>
              <w:spacing w:before="120"/>
            </w:pPr>
            <w:r>
              <w:t xml:space="preserve">A written policy that has been approved by the </w:t>
            </w:r>
            <w:r w:rsidR="0006032F">
              <w:t>p</w:t>
            </w:r>
            <w:r>
              <w:t xml:space="preserve">eer </w:t>
            </w:r>
            <w:r w:rsidR="0006032F">
              <w:t>l</w:t>
            </w:r>
            <w:r>
              <w:t xml:space="preserve">earning </w:t>
            </w:r>
            <w:r w:rsidR="0006032F">
              <w:t>q</w:t>
            </w:r>
            <w:r>
              <w:t xml:space="preserve">uality of </w:t>
            </w:r>
            <w:r w:rsidR="0006032F">
              <w:t>c</w:t>
            </w:r>
            <w:r>
              <w:t xml:space="preserve">are </w:t>
            </w:r>
            <w:r w:rsidR="0006032F">
              <w:t>c</w:t>
            </w:r>
            <w:r>
              <w:t>ommittee and the organization-level oversight entity can be used as evidence in a legal proceeding</w:t>
            </w:r>
            <w:r w:rsidR="0006032F">
              <w:t>.</w:t>
            </w:r>
          </w:p>
          <w:p w14:paraId="29AB61D4" w14:textId="51EA0BF0" w:rsidR="006E2E4E" w:rsidRPr="008A3DD7" w:rsidRDefault="006E2E4E" w:rsidP="006E2E4E">
            <w:pPr>
              <w:pStyle w:val="HQOTEXT"/>
              <w:spacing w:before="60"/>
              <w:ind w:left="173"/>
            </w:pPr>
          </w:p>
        </w:tc>
      </w:tr>
    </w:tbl>
    <w:p w14:paraId="55FF009A" w14:textId="77777777" w:rsidR="001512E3" w:rsidRDefault="001512E3" w:rsidP="001512E3"/>
    <w:p w14:paraId="5766668D" w14:textId="77777777" w:rsidR="00AE1D78" w:rsidRDefault="00AE1D78">
      <w:pPr>
        <w:rPr>
          <w:rFonts w:ascii="Arial" w:hAnsi="Arial" w:cs="Arial"/>
          <w:b/>
          <w:color w:val="009999"/>
          <w:kern w:val="24"/>
          <w:sz w:val="36"/>
          <w:szCs w:val="36"/>
        </w:rPr>
      </w:pPr>
      <w:r>
        <w:rPr>
          <w:rFonts w:ascii="Arial" w:hAnsi="Arial" w:cs="Arial"/>
          <w:b/>
          <w:color w:val="009999"/>
          <w:kern w:val="24"/>
          <w:sz w:val="36"/>
          <w:szCs w:val="36"/>
        </w:rPr>
        <w:br w:type="page"/>
      </w:r>
    </w:p>
    <w:p w14:paraId="3981C28D" w14:textId="06FDF32B" w:rsidR="001512E3" w:rsidRPr="00F13A34" w:rsidRDefault="000C0101" w:rsidP="000C0101">
      <w:pPr>
        <w:rPr>
          <w:rFonts w:ascii="Arial" w:hAnsi="Arial" w:cs="Arial"/>
          <w:b/>
          <w:color w:val="00788A"/>
          <w:kern w:val="24"/>
          <w:sz w:val="34"/>
          <w:szCs w:val="34"/>
        </w:rPr>
      </w:pPr>
      <w:r w:rsidRPr="00F13A34">
        <w:rPr>
          <w:rFonts w:ascii="Arial" w:hAnsi="Arial" w:cs="Arial"/>
          <w:b/>
          <w:color w:val="00788A"/>
          <w:kern w:val="24"/>
          <w:sz w:val="34"/>
          <w:szCs w:val="34"/>
        </w:rPr>
        <w:lastRenderedPageBreak/>
        <w:t>References</w:t>
      </w:r>
    </w:p>
    <w:sectPr w:rsidR="001512E3" w:rsidRPr="00F13A34" w:rsidSect="00F13A34">
      <w:footerReference w:type="first" r:id="rId16"/>
      <w:pgSz w:w="12240" w:h="15840"/>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FCE8" w14:textId="77777777" w:rsidR="00DE73DB" w:rsidRDefault="00DE73DB" w:rsidP="006F4FB0">
      <w:pPr>
        <w:spacing w:after="0" w:line="240" w:lineRule="auto"/>
      </w:pPr>
      <w:r>
        <w:separator/>
      </w:r>
    </w:p>
  </w:endnote>
  <w:endnote w:type="continuationSeparator" w:id="0">
    <w:p w14:paraId="6A48D901" w14:textId="77777777" w:rsidR="00DE73DB" w:rsidRDefault="00DE73DB" w:rsidP="006F4FB0">
      <w:pPr>
        <w:spacing w:after="0" w:line="240" w:lineRule="auto"/>
      </w:pPr>
      <w:r>
        <w:continuationSeparator/>
      </w:r>
    </w:p>
  </w:endnote>
  <w:endnote w:id="1">
    <w:p w14:paraId="19620E48" w14:textId="22E66017" w:rsidR="00154F7C" w:rsidRPr="00F13A34" w:rsidRDefault="004314B1">
      <w:pPr>
        <w:pStyle w:val="EndnoteText"/>
        <w:rPr>
          <w:sz w:val="22"/>
          <w:szCs w:val="22"/>
        </w:rPr>
      </w:pPr>
      <w:r w:rsidRPr="00F13A34">
        <w:rPr>
          <w:rStyle w:val="EndnoteReference"/>
          <w:sz w:val="22"/>
          <w:szCs w:val="22"/>
        </w:rPr>
        <w:endnoteRef/>
      </w:r>
      <w:r w:rsidRPr="00F13A34">
        <w:rPr>
          <w:sz w:val="22"/>
          <w:szCs w:val="22"/>
        </w:rPr>
        <w:t xml:space="preserve"> Slavutych v. Baker, [1976] 1 S.C.R. 254, [1976] S.C.J. No. 29</w:t>
      </w:r>
      <w:r w:rsidR="00807BB9" w:rsidRPr="00C256BD">
        <w:rPr>
          <w:rFonts w:cs="Arial"/>
          <w:sz w:val="22"/>
          <w:szCs w:val="22"/>
        </w:rPr>
        <w:t xml:space="preserve">. Available from: </w:t>
      </w:r>
      <w:hyperlink r:id="rId1" w:history="1">
        <w:r w:rsidR="00807BB9" w:rsidRPr="00C256BD">
          <w:rPr>
            <w:rStyle w:val="Hyperlink"/>
            <w:sz w:val="22"/>
            <w:szCs w:val="22"/>
          </w:rPr>
          <w:t>https://scc-csc.lexum.com/scc-csc/scc-csc/en/item/2679/index.do</w:t>
        </w:r>
      </w:hyperlink>
    </w:p>
    <w:p w14:paraId="347C4261" w14:textId="77777777" w:rsidR="004514AB" w:rsidRPr="00F13A34" w:rsidRDefault="004514AB">
      <w:pPr>
        <w:pStyle w:val="EndnoteText"/>
        <w:rPr>
          <w:sz w:val="22"/>
          <w:szCs w:val="22"/>
        </w:rPr>
      </w:pPr>
    </w:p>
  </w:endnote>
  <w:endnote w:id="2">
    <w:p w14:paraId="7ADA5C5B" w14:textId="23D26AA6" w:rsidR="00B14ECB" w:rsidRDefault="00B14ECB" w:rsidP="00B14ECB">
      <w:pPr>
        <w:pStyle w:val="EndnoteText"/>
        <w:rPr>
          <w:rStyle w:val="Hyperlink"/>
          <w:sz w:val="22"/>
          <w:szCs w:val="22"/>
        </w:rPr>
      </w:pPr>
      <w:r w:rsidRPr="005B5B37">
        <w:rPr>
          <w:rStyle w:val="EndnoteReference"/>
          <w:sz w:val="22"/>
          <w:szCs w:val="22"/>
        </w:rPr>
        <w:endnoteRef/>
      </w:r>
      <w:r w:rsidRPr="005B5B37">
        <w:rPr>
          <w:sz w:val="22"/>
          <w:szCs w:val="22"/>
        </w:rPr>
        <w:t xml:space="preserve"> </w:t>
      </w:r>
      <w:r>
        <w:rPr>
          <w:sz w:val="22"/>
          <w:szCs w:val="22"/>
        </w:rPr>
        <w:t xml:space="preserve">Cassels Brock Lawyers. </w:t>
      </w:r>
      <w:r w:rsidRPr="008C26FC">
        <w:rPr>
          <w:sz w:val="22"/>
          <w:szCs w:val="22"/>
        </w:rPr>
        <w:t xml:space="preserve">Hospital Does Not Have To Disclose Quality Assurance Reports In Medical Malpractice Case [Internet]. Toronto (ON): </w:t>
      </w:r>
      <w:r>
        <w:rPr>
          <w:sz w:val="22"/>
          <w:szCs w:val="22"/>
        </w:rPr>
        <w:t>Cassels Brock Lawyers</w:t>
      </w:r>
      <w:r w:rsidRPr="008C26FC">
        <w:rPr>
          <w:sz w:val="22"/>
          <w:szCs w:val="22"/>
        </w:rPr>
        <w:t>; 2003 May 26 [cited 2019 Feb 28]. Available from:</w:t>
      </w:r>
      <w:r>
        <w:rPr>
          <w:sz w:val="22"/>
          <w:szCs w:val="22"/>
        </w:rPr>
        <w:t xml:space="preserve"> </w:t>
      </w:r>
      <w:hyperlink r:id="rId2" w:history="1">
        <w:r w:rsidRPr="005C30A4">
          <w:rPr>
            <w:rStyle w:val="Hyperlink"/>
            <w:sz w:val="22"/>
            <w:szCs w:val="22"/>
          </w:rPr>
          <w:t>https://www.casselsbrock.com/Doc/Hospital_Does_Not_Have_To_Disclose_Quality_Assurance_Reports_In_Medical_Malpractice_Case_517</w:t>
        </w:r>
      </w:hyperlink>
    </w:p>
    <w:p w14:paraId="5A522836" w14:textId="1CDD8B84" w:rsidR="00A45F0F" w:rsidRDefault="00A45F0F" w:rsidP="00B14ECB">
      <w:pPr>
        <w:pStyle w:val="EndnoteText"/>
        <w:rPr>
          <w:rStyle w:val="Hyperlink"/>
          <w:sz w:val="22"/>
          <w:szCs w:val="22"/>
        </w:rPr>
      </w:pPr>
    </w:p>
    <w:p w14:paraId="7A3E1001" w14:textId="39F8FA63" w:rsidR="00A45F0F" w:rsidRDefault="00A45F0F" w:rsidP="00B14ECB">
      <w:pPr>
        <w:pStyle w:val="EndnoteText"/>
        <w:rPr>
          <w:rStyle w:val="Hyperlink"/>
          <w:sz w:val="22"/>
          <w:szCs w:val="22"/>
        </w:rPr>
      </w:pPr>
    </w:p>
    <w:p w14:paraId="1FAA83E7" w14:textId="6B9309E2" w:rsidR="00A45F0F" w:rsidRDefault="00A45F0F" w:rsidP="00B14ECB">
      <w:pPr>
        <w:pStyle w:val="EndnoteText"/>
        <w:rPr>
          <w:rStyle w:val="Hyperlink"/>
          <w:sz w:val="22"/>
          <w:szCs w:val="22"/>
        </w:rPr>
      </w:pPr>
    </w:p>
    <w:p w14:paraId="02EF228F" w14:textId="2B0D7A61" w:rsidR="00A45F0F" w:rsidRDefault="00A45F0F" w:rsidP="00B14ECB">
      <w:pPr>
        <w:pStyle w:val="EndnoteText"/>
        <w:rPr>
          <w:rStyle w:val="Hyperlink"/>
          <w:sz w:val="22"/>
          <w:szCs w:val="22"/>
        </w:rPr>
      </w:pPr>
    </w:p>
    <w:p w14:paraId="3F1C9815" w14:textId="47033AFD" w:rsidR="00A45F0F" w:rsidRDefault="00A45F0F" w:rsidP="00B14ECB">
      <w:pPr>
        <w:pStyle w:val="EndnoteText"/>
        <w:rPr>
          <w:rStyle w:val="Hyperlink"/>
          <w:sz w:val="22"/>
          <w:szCs w:val="22"/>
        </w:rPr>
      </w:pPr>
    </w:p>
    <w:p w14:paraId="61FAE22F" w14:textId="70C422F3" w:rsidR="00A45F0F" w:rsidRDefault="00A45F0F" w:rsidP="00B14ECB">
      <w:pPr>
        <w:pStyle w:val="EndnoteText"/>
        <w:rPr>
          <w:rStyle w:val="Hyperlink"/>
          <w:sz w:val="22"/>
          <w:szCs w:val="22"/>
        </w:rPr>
      </w:pPr>
    </w:p>
    <w:p w14:paraId="2F7DCA7A" w14:textId="07CD6A17" w:rsidR="00A45F0F" w:rsidRDefault="00A45F0F" w:rsidP="00B14ECB">
      <w:pPr>
        <w:pStyle w:val="EndnoteText"/>
        <w:rPr>
          <w:rStyle w:val="Hyperlink"/>
          <w:sz w:val="22"/>
          <w:szCs w:val="22"/>
        </w:rPr>
      </w:pPr>
    </w:p>
    <w:p w14:paraId="6E6B9792" w14:textId="30A2A41E" w:rsidR="00A45F0F" w:rsidRDefault="00A45F0F" w:rsidP="00B14ECB">
      <w:pPr>
        <w:pStyle w:val="EndnoteText"/>
        <w:rPr>
          <w:rStyle w:val="Hyperlink"/>
          <w:sz w:val="22"/>
          <w:szCs w:val="22"/>
        </w:rPr>
      </w:pPr>
    </w:p>
    <w:p w14:paraId="6A7ED1E9" w14:textId="1E47CEA2" w:rsidR="00A45F0F" w:rsidRDefault="00A45F0F" w:rsidP="00B14ECB">
      <w:pPr>
        <w:pStyle w:val="EndnoteText"/>
        <w:rPr>
          <w:rStyle w:val="Hyperlink"/>
          <w:sz w:val="22"/>
          <w:szCs w:val="22"/>
        </w:rPr>
      </w:pPr>
    </w:p>
    <w:p w14:paraId="43CEE169" w14:textId="72AA5AB3" w:rsidR="00A45F0F" w:rsidRDefault="00A45F0F" w:rsidP="00B14ECB">
      <w:pPr>
        <w:pStyle w:val="EndnoteText"/>
        <w:rPr>
          <w:rStyle w:val="Hyperlink"/>
          <w:sz w:val="22"/>
          <w:szCs w:val="22"/>
        </w:rPr>
      </w:pPr>
    </w:p>
    <w:p w14:paraId="0C6671E7" w14:textId="512C5B8C" w:rsidR="00A45F0F" w:rsidRDefault="00A45F0F" w:rsidP="00B14ECB">
      <w:pPr>
        <w:pStyle w:val="EndnoteText"/>
        <w:rPr>
          <w:rStyle w:val="Hyperlink"/>
          <w:sz w:val="22"/>
          <w:szCs w:val="22"/>
        </w:rPr>
      </w:pPr>
    </w:p>
    <w:p w14:paraId="2DC0DF47" w14:textId="5B428354" w:rsidR="00A45F0F" w:rsidRDefault="00A45F0F" w:rsidP="00B14ECB">
      <w:pPr>
        <w:pStyle w:val="EndnoteText"/>
        <w:rPr>
          <w:rStyle w:val="Hyperlink"/>
          <w:sz w:val="22"/>
          <w:szCs w:val="22"/>
        </w:rPr>
      </w:pPr>
    </w:p>
    <w:p w14:paraId="21B513DF" w14:textId="3AC80A22" w:rsidR="00A45F0F" w:rsidRDefault="00A45F0F" w:rsidP="00B14ECB">
      <w:pPr>
        <w:pStyle w:val="EndnoteText"/>
        <w:rPr>
          <w:rStyle w:val="Hyperlink"/>
          <w:sz w:val="22"/>
          <w:szCs w:val="22"/>
        </w:rPr>
      </w:pPr>
    </w:p>
    <w:p w14:paraId="27399611" w14:textId="673ECA3D" w:rsidR="00A45F0F" w:rsidRDefault="00A45F0F" w:rsidP="00B14ECB">
      <w:pPr>
        <w:pStyle w:val="EndnoteText"/>
        <w:rPr>
          <w:rStyle w:val="Hyperlink"/>
          <w:sz w:val="22"/>
          <w:szCs w:val="22"/>
        </w:rPr>
      </w:pPr>
    </w:p>
    <w:p w14:paraId="6EE16B9C" w14:textId="58EA3DA0" w:rsidR="00A45F0F" w:rsidRDefault="00A45F0F" w:rsidP="00B14ECB">
      <w:pPr>
        <w:pStyle w:val="EndnoteText"/>
        <w:rPr>
          <w:rStyle w:val="Hyperlink"/>
          <w:sz w:val="22"/>
          <w:szCs w:val="22"/>
        </w:rPr>
      </w:pPr>
    </w:p>
    <w:p w14:paraId="2D4B0A01" w14:textId="32CB8AE7" w:rsidR="00A45F0F" w:rsidRDefault="00A45F0F" w:rsidP="00B14ECB">
      <w:pPr>
        <w:pStyle w:val="EndnoteText"/>
        <w:rPr>
          <w:rStyle w:val="Hyperlink"/>
          <w:sz w:val="22"/>
          <w:szCs w:val="22"/>
        </w:rPr>
      </w:pPr>
    </w:p>
    <w:p w14:paraId="459C7EC8" w14:textId="1FB8A7B5" w:rsidR="00A45F0F" w:rsidRDefault="00A45F0F" w:rsidP="00B14ECB">
      <w:pPr>
        <w:pStyle w:val="EndnoteText"/>
        <w:rPr>
          <w:rStyle w:val="Hyperlink"/>
          <w:sz w:val="22"/>
          <w:szCs w:val="22"/>
        </w:rPr>
      </w:pPr>
    </w:p>
    <w:p w14:paraId="0A06978F" w14:textId="39F10365" w:rsidR="00A45F0F" w:rsidRDefault="00A45F0F" w:rsidP="00B14ECB">
      <w:pPr>
        <w:pStyle w:val="EndnoteText"/>
        <w:rPr>
          <w:rStyle w:val="Hyperlink"/>
          <w:sz w:val="22"/>
          <w:szCs w:val="22"/>
        </w:rPr>
      </w:pPr>
    </w:p>
    <w:p w14:paraId="6E1C073D" w14:textId="444EAF4A" w:rsidR="00A45F0F" w:rsidRDefault="00A45F0F" w:rsidP="00B14ECB">
      <w:pPr>
        <w:pStyle w:val="EndnoteText"/>
        <w:rPr>
          <w:rStyle w:val="Hyperlink"/>
          <w:sz w:val="22"/>
          <w:szCs w:val="22"/>
        </w:rPr>
      </w:pPr>
    </w:p>
    <w:p w14:paraId="19A774BD" w14:textId="48363BBE" w:rsidR="00A45F0F" w:rsidRDefault="00A45F0F" w:rsidP="00B14ECB">
      <w:pPr>
        <w:pStyle w:val="EndnoteText"/>
        <w:rPr>
          <w:rStyle w:val="Hyperlink"/>
          <w:sz w:val="22"/>
          <w:szCs w:val="22"/>
        </w:rPr>
      </w:pPr>
    </w:p>
    <w:p w14:paraId="639ED3FE" w14:textId="5F37ADA9" w:rsidR="00A45F0F" w:rsidRDefault="00A45F0F" w:rsidP="00B14ECB">
      <w:pPr>
        <w:pStyle w:val="EndnoteText"/>
        <w:rPr>
          <w:rStyle w:val="Hyperlink"/>
          <w:sz w:val="22"/>
          <w:szCs w:val="22"/>
        </w:rPr>
      </w:pPr>
    </w:p>
    <w:p w14:paraId="760E05EE" w14:textId="13067DFD" w:rsidR="00A45F0F" w:rsidRDefault="00A45F0F" w:rsidP="00B14ECB">
      <w:pPr>
        <w:pStyle w:val="EndnoteText"/>
        <w:rPr>
          <w:rStyle w:val="Hyperlink"/>
          <w:sz w:val="22"/>
          <w:szCs w:val="22"/>
        </w:rPr>
      </w:pPr>
    </w:p>
    <w:p w14:paraId="7B1C1691" w14:textId="7F9AB9B3" w:rsidR="00A45F0F" w:rsidRDefault="00A45F0F" w:rsidP="00B14ECB">
      <w:pPr>
        <w:pStyle w:val="EndnoteText"/>
        <w:rPr>
          <w:rStyle w:val="Hyperlink"/>
          <w:sz w:val="22"/>
          <w:szCs w:val="22"/>
        </w:rPr>
      </w:pPr>
    </w:p>
    <w:p w14:paraId="6DD30023" w14:textId="52B91F26" w:rsidR="00A45F0F" w:rsidRDefault="00A45F0F" w:rsidP="00B14ECB">
      <w:pPr>
        <w:pStyle w:val="EndnoteText"/>
        <w:rPr>
          <w:rStyle w:val="Hyperlink"/>
          <w:sz w:val="22"/>
          <w:szCs w:val="22"/>
        </w:rPr>
      </w:pPr>
    </w:p>
    <w:p w14:paraId="22ECC5F4" w14:textId="7072F09D" w:rsidR="00A45F0F" w:rsidRDefault="00A45F0F" w:rsidP="00B14ECB">
      <w:pPr>
        <w:pStyle w:val="EndnoteText"/>
        <w:rPr>
          <w:rStyle w:val="Hyperlink"/>
          <w:sz w:val="22"/>
          <w:szCs w:val="22"/>
        </w:rPr>
      </w:pPr>
    </w:p>
    <w:p w14:paraId="0485A21D" w14:textId="15A8D561" w:rsidR="00A45F0F" w:rsidRDefault="00A45F0F" w:rsidP="00B14ECB">
      <w:pPr>
        <w:pStyle w:val="EndnoteText"/>
        <w:rPr>
          <w:rStyle w:val="Hyperlink"/>
          <w:sz w:val="22"/>
          <w:szCs w:val="22"/>
        </w:rPr>
      </w:pPr>
    </w:p>
    <w:p w14:paraId="090EAF7A" w14:textId="136E8881" w:rsidR="00A45F0F" w:rsidRDefault="00A45F0F" w:rsidP="00B14ECB">
      <w:pPr>
        <w:pStyle w:val="EndnoteText"/>
        <w:rPr>
          <w:rStyle w:val="Hyperlink"/>
          <w:sz w:val="22"/>
          <w:szCs w:val="22"/>
        </w:rPr>
      </w:pPr>
    </w:p>
    <w:p w14:paraId="127784A6" w14:textId="0E28883C" w:rsidR="00A45F0F" w:rsidRDefault="00A45F0F" w:rsidP="00B14ECB">
      <w:pPr>
        <w:pStyle w:val="EndnoteText"/>
        <w:rPr>
          <w:rStyle w:val="Hyperlink"/>
          <w:sz w:val="22"/>
          <w:szCs w:val="22"/>
        </w:rPr>
      </w:pPr>
    </w:p>
    <w:p w14:paraId="43FF148D" w14:textId="2BC44C40" w:rsidR="00A45F0F" w:rsidRDefault="00A45F0F" w:rsidP="00B14ECB">
      <w:pPr>
        <w:pStyle w:val="EndnoteText"/>
        <w:rPr>
          <w:rStyle w:val="Hyperlink"/>
          <w:sz w:val="22"/>
          <w:szCs w:val="22"/>
        </w:rPr>
      </w:pPr>
    </w:p>
    <w:p w14:paraId="24AE03BA" w14:textId="42D1AD31" w:rsidR="00A45F0F" w:rsidRDefault="00A45F0F" w:rsidP="00B14ECB">
      <w:pPr>
        <w:pStyle w:val="EndnoteText"/>
        <w:rPr>
          <w:rStyle w:val="Hyperlink"/>
          <w:sz w:val="22"/>
          <w:szCs w:val="22"/>
        </w:rPr>
      </w:pPr>
    </w:p>
    <w:p w14:paraId="00EE1A9B" w14:textId="497F4BB4" w:rsidR="00A45F0F" w:rsidRDefault="00A45F0F" w:rsidP="00B14ECB">
      <w:pPr>
        <w:pStyle w:val="EndnoteText"/>
        <w:rPr>
          <w:rStyle w:val="Hyperlink"/>
          <w:sz w:val="22"/>
          <w:szCs w:val="22"/>
        </w:rPr>
      </w:pPr>
    </w:p>
    <w:p w14:paraId="3388165A" w14:textId="06CE5776" w:rsidR="00A45F0F" w:rsidRDefault="00A45F0F" w:rsidP="00B14ECB">
      <w:pPr>
        <w:pStyle w:val="EndnoteText"/>
        <w:rPr>
          <w:rStyle w:val="Hyperlink"/>
          <w:sz w:val="22"/>
          <w:szCs w:val="22"/>
        </w:rPr>
      </w:pPr>
    </w:p>
    <w:p w14:paraId="34FDF866" w14:textId="0E2F332E" w:rsidR="00A45F0F" w:rsidRDefault="00A45F0F" w:rsidP="00B14ECB">
      <w:pPr>
        <w:pStyle w:val="EndnoteText"/>
        <w:rPr>
          <w:rStyle w:val="Hyperlink"/>
          <w:sz w:val="22"/>
          <w:szCs w:val="22"/>
        </w:rPr>
      </w:pPr>
    </w:p>
    <w:p w14:paraId="43CB222F" w14:textId="62EB40EF" w:rsidR="00A45F0F" w:rsidRDefault="00A45F0F" w:rsidP="00B14ECB">
      <w:pPr>
        <w:pStyle w:val="EndnoteText"/>
        <w:rPr>
          <w:rStyle w:val="Hyperlink"/>
          <w:sz w:val="22"/>
          <w:szCs w:val="22"/>
        </w:rPr>
      </w:pPr>
    </w:p>
    <w:p w14:paraId="7627052F" w14:textId="51FEDFA6" w:rsidR="00A45F0F" w:rsidRDefault="00A45F0F" w:rsidP="00B14ECB">
      <w:pPr>
        <w:pStyle w:val="EndnoteText"/>
        <w:rPr>
          <w:rStyle w:val="Hyperlink"/>
          <w:sz w:val="22"/>
          <w:szCs w:val="22"/>
        </w:rPr>
      </w:pPr>
    </w:p>
    <w:p w14:paraId="39D6BBA5" w14:textId="7DE988B2" w:rsidR="00A45F0F" w:rsidRDefault="00A45F0F" w:rsidP="00B14ECB">
      <w:pPr>
        <w:pStyle w:val="EndnoteText"/>
        <w:rPr>
          <w:rStyle w:val="Hyperlink"/>
          <w:sz w:val="22"/>
          <w:szCs w:val="22"/>
        </w:rPr>
      </w:pPr>
    </w:p>
    <w:p w14:paraId="032E1A1E" w14:textId="1AAC9158" w:rsidR="00A45F0F" w:rsidRDefault="00A45F0F" w:rsidP="00B14ECB">
      <w:pPr>
        <w:pStyle w:val="EndnoteText"/>
        <w:rPr>
          <w:rStyle w:val="Hyperlink"/>
          <w:sz w:val="22"/>
          <w:szCs w:val="22"/>
        </w:rPr>
      </w:pPr>
    </w:p>
    <w:p w14:paraId="6950A965" w14:textId="567F8306" w:rsidR="00A45F0F" w:rsidRDefault="00A45F0F" w:rsidP="00B14ECB">
      <w:pPr>
        <w:pStyle w:val="EndnoteText"/>
        <w:rPr>
          <w:rStyle w:val="Hyperlink"/>
          <w:sz w:val="22"/>
          <w:szCs w:val="22"/>
        </w:rPr>
      </w:pPr>
    </w:p>
    <w:p w14:paraId="74D25644" w14:textId="44446DC8" w:rsidR="00A45F0F" w:rsidRDefault="00A45F0F" w:rsidP="00B14ECB">
      <w:pPr>
        <w:pStyle w:val="EndnoteText"/>
        <w:rPr>
          <w:rStyle w:val="Hyperlink"/>
          <w:sz w:val="22"/>
          <w:szCs w:val="22"/>
        </w:rPr>
      </w:pPr>
    </w:p>
    <w:p w14:paraId="10346DE5" w14:textId="4668B4AC" w:rsidR="00A45F0F" w:rsidRDefault="00A45F0F" w:rsidP="00B14ECB">
      <w:pPr>
        <w:pStyle w:val="EndnoteText"/>
        <w:rPr>
          <w:rStyle w:val="Hyperlink"/>
          <w:sz w:val="22"/>
          <w:szCs w:val="22"/>
        </w:rPr>
      </w:pPr>
    </w:p>
    <w:p w14:paraId="39E7F317" w14:textId="12659392" w:rsidR="00A45F0F" w:rsidRDefault="00A45F0F" w:rsidP="00B14ECB">
      <w:pPr>
        <w:pStyle w:val="EndnoteText"/>
        <w:rPr>
          <w:rStyle w:val="Hyperlink"/>
          <w:sz w:val="22"/>
          <w:szCs w:val="22"/>
        </w:rPr>
      </w:pPr>
    </w:p>
    <w:p w14:paraId="5DDB1630" w14:textId="38EF1A96" w:rsidR="00A45F0F" w:rsidRDefault="00A45F0F" w:rsidP="00B14ECB">
      <w:pPr>
        <w:pStyle w:val="EndnoteText"/>
        <w:rPr>
          <w:rStyle w:val="Hyperlink"/>
          <w:sz w:val="22"/>
          <w:szCs w:val="22"/>
        </w:rPr>
      </w:pPr>
    </w:p>
    <w:p w14:paraId="47DBBC97" w14:textId="69EADDF9" w:rsidR="00A45F0F" w:rsidRPr="00CC4027" w:rsidRDefault="00A45F0F" w:rsidP="00B14ECB">
      <w:pPr>
        <w:pStyle w:val="EndnoteText"/>
        <w:rPr>
          <w:sz w:val="22"/>
          <w:szCs w:val="22"/>
        </w:rPr>
      </w:pPr>
    </w:p>
    <w:p w14:paraId="0BA15021" w14:textId="35DC448F" w:rsidR="0042676E" w:rsidRPr="005457B0" w:rsidRDefault="0042676E" w:rsidP="0042676E">
      <w:pPr>
        <w:pStyle w:val="HQOTEXT"/>
      </w:pPr>
      <w:r w:rsidRPr="000A2252">
        <w:rPr>
          <w:lang w:val="en-US"/>
        </w:rPr>
        <w:t>ISBN 978-1-4868-3789-2</w:t>
      </w:r>
      <w:r w:rsidR="00700C76">
        <w:rPr>
          <w:lang w:val="en-US"/>
        </w:rPr>
        <w:t xml:space="preserve"> (PDF)</w:t>
      </w:r>
      <w:bookmarkStart w:id="0" w:name="_GoBack"/>
      <w:bookmarkEnd w:id="0"/>
    </w:p>
    <w:p w14:paraId="6042E2EB" w14:textId="77777777" w:rsidR="00A45F0F" w:rsidRPr="00F13D4D" w:rsidRDefault="00A45F0F" w:rsidP="00A45F0F">
      <w:pPr>
        <w:pStyle w:val="EndnoteText"/>
        <w:rPr>
          <w:sz w:val="22"/>
          <w:szCs w:val="22"/>
        </w:rPr>
      </w:pPr>
    </w:p>
    <w:p w14:paraId="01082E5C" w14:textId="77777777" w:rsidR="00A45F0F" w:rsidRPr="00F13D4D" w:rsidRDefault="00A45F0F" w:rsidP="00A45F0F">
      <w:pPr>
        <w:pStyle w:val="EndnoteText"/>
        <w:rPr>
          <w:sz w:val="22"/>
          <w:szCs w:val="22"/>
        </w:rPr>
      </w:pPr>
    </w:p>
    <w:p w14:paraId="31E742DC" w14:textId="2904EFAD" w:rsidR="00A45F0F" w:rsidRPr="00F13D4D" w:rsidRDefault="00A45F0F" w:rsidP="00A45F0F">
      <w:pPr>
        <w:pStyle w:val="EndnoteText"/>
        <w:rPr>
          <w:sz w:val="22"/>
          <w:szCs w:val="22"/>
        </w:rPr>
      </w:pPr>
      <w:r w:rsidRPr="00F13D4D">
        <w:rPr>
          <w:sz w:val="22"/>
          <w:szCs w:val="22"/>
        </w:rPr>
        <w:t>© Queen’s Printer for Ontario, 201</w:t>
      </w:r>
      <w:r w:rsidR="0042676E">
        <w:rPr>
          <w:sz w:val="22"/>
          <w:szCs w:val="22"/>
        </w:rPr>
        <w:t>9</w:t>
      </w:r>
    </w:p>
    <w:p w14:paraId="0FFCB7AF" w14:textId="77777777" w:rsidR="00A45F0F" w:rsidRPr="00F13D4D" w:rsidRDefault="00A45F0F" w:rsidP="00A45F0F">
      <w:pPr>
        <w:pStyle w:val="EndnoteText"/>
        <w:rPr>
          <w:sz w:val="22"/>
          <w:szCs w:val="22"/>
        </w:rPr>
      </w:pPr>
    </w:p>
    <w:p w14:paraId="6D1F77AC" w14:textId="77777777" w:rsidR="00A45F0F" w:rsidRPr="00F13D4D" w:rsidRDefault="00A45F0F" w:rsidP="00A45F0F">
      <w:pPr>
        <w:pStyle w:val="EndnoteText"/>
        <w:rPr>
          <w:sz w:val="22"/>
          <w:szCs w:val="22"/>
        </w:rPr>
      </w:pPr>
      <w:r w:rsidRPr="00F13D4D">
        <w:rPr>
          <w:sz w:val="22"/>
          <w:szCs w:val="22"/>
        </w:rPr>
        <w:t xml:space="preserve">The copyright for all Health Quality Ontario publications is owned by the </w:t>
      </w:r>
      <w:hyperlink r:id="rId3" w:history="1">
        <w:r w:rsidRPr="00F13D4D">
          <w:rPr>
            <w:rStyle w:val="Hyperlink"/>
            <w:b/>
            <w:sz w:val="22"/>
            <w:szCs w:val="22"/>
          </w:rPr>
          <w:t>Queen’s Printer for Ontario</w:t>
        </w:r>
      </w:hyperlink>
      <w:r w:rsidRPr="00F13D4D">
        <w:rPr>
          <w:sz w:val="22"/>
          <w:szCs w:val="22"/>
        </w:rPr>
        <w:t>. Materials may be reproduced for commercial purposes only under a licence from the Queen’s Printer. For further information or to request a licence to reproduce content, please contact:</w:t>
      </w:r>
    </w:p>
    <w:p w14:paraId="6B3EE16E" w14:textId="77777777" w:rsidR="00A45F0F" w:rsidRPr="00F13D4D" w:rsidRDefault="00A45F0F" w:rsidP="00A45F0F">
      <w:pPr>
        <w:pStyle w:val="EndnoteText"/>
        <w:rPr>
          <w:sz w:val="22"/>
          <w:szCs w:val="22"/>
        </w:rPr>
      </w:pPr>
    </w:p>
    <w:p w14:paraId="665B1665" w14:textId="77777777" w:rsidR="00A45F0F" w:rsidRPr="00F13D4D" w:rsidRDefault="00A45F0F" w:rsidP="00A45F0F">
      <w:pPr>
        <w:pStyle w:val="EndnoteText"/>
        <w:rPr>
          <w:sz w:val="22"/>
          <w:szCs w:val="22"/>
        </w:rPr>
      </w:pPr>
      <w:r w:rsidRPr="00F13D4D">
        <w:rPr>
          <w:sz w:val="22"/>
          <w:szCs w:val="22"/>
        </w:rPr>
        <w:t>Senior Copyright Advisor</w:t>
      </w:r>
    </w:p>
    <w:p w14:paraId="4F770E03" w14:textId="77777777" w:rsidR="00A45F0F" w:rsidRPr="00F13D4D" w:rsidRDefault="00A45F0F" w:rsidP="00A45F0F">
      <w:pPr>
        <w:pStyle w:val="EndnoteText"/>
        <w:rPr>
          <w:sz w:val="22"/>
          <w:szCs w:val="22"/>
        </w:rPr>
      </w:pPr>
      <w:r w:rsidRPr="00F13D4D">
        <w:rPr>
          <w:sz w:val="22"/>
          <w:szCs w:val="22"/>
        </w:rPr>
        <w:t>Publications Ontario</w:t>
      </w:r>
    </w:p>
    <w:p w14:paraId="25616375" w14:textId="77777777" w:rsidR="00A45F0F" w:rsidRPr="00F13D4D" w:rsidRDefault="00A45F0F" w:rsidP="00A45F0F">
      <w:pPr>
        <w:pStyle w:val="EndnoteText"/>
        <w:rPr>
          <w:sz w:val="22"/>
          <w:szCs w:val="22"/>
        </w:rPr>
      </w:pPr>
      <w:r w:rsidRPr="00F13D4D">
        <w:rPr>
          <w:sz w:val="22"/>
          <w:szCs w:val="22"/>
        </w:rPr>
        <w:t>416-326-5153</w:t>
      </w:r>
    </w:p>
    <w:p w14:paraId="2431353B" w14:textId="77777777" w:rsidR="00A45F0F" w:rsidRPr="00F13D4D" w:rsidRDefault="00DE73DB" w:rsidP="00A45F0F">
      <w:pPr>
        <w:pStyle w:val="EndnoteText"/>
        <w:rPr>
          <w:sz w:val="22"/>
          <w:szCs w:val="22"/>
        </w:rPr>
      </w:pPr>
      <w:hyperlink r:id="rId4" w:history="1">
        <w:r w:rsidR="00A45F0F" w:rsidRPr="00F13D4D">
          <w:rPr>
            <w:rStyle w:val="Hyperlink"/>
            <w:sz w:val="22"/>
            <w:szCs w:val="22"/>
          </w:rPr>
          <w:t>copyright@ontario.ca</w:t>
        </w:r>
      </w:hyperlink>
      <w:r w:rsidR="00A45F0F" w:rsidRPr="00F13D4D">
        <w:rPr>
          <w:sz w:val="22"/>
          <w:szCs w:val="22"/>
        </w:rPr>
        <w:t xml:space="preserve"> </w:t>
      </w:r>
    </w:p>
    <w:p w14:paraId="0ED3D4FB" w14:textId="77777777" w:rsidR="00A45F0F" w:rsidRPr="00F13D4D" w:rsidRDefault="00A45F0F" w:rsidP="00A45F0F">
      <w:pPr>
        <w:pStyle w:val="EndnoteText"/>
        <w:rPr>
          <w:sz w:val="22"/>
          <w:szCs w:val="22"/>
        </w:rPr>
      </w:pPr>
    </w:p>
    <w:p w14:paraId="725294A3" w14:textId="77777777" w:rsidR="00A45F0F" w:rsidRPr="00CC4027" w:rsidRDefault="00A45F0F" w:rsidP="00B14ECB">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EF45" w14:textId="58CCDDE8" w:rsidR="009E5AA0" w:rsidRPr="00F13A34" w:rsidRDefault="00F31CAF" w:rsidP="00F13A34">
    <w:pPr>
      <w:pStyle w:val="Footer"/>
      <w:tabs>
        <w:tab w:val="clear" w:pos="4680"/>
        <w:tab w:val="center" w:pos="2268"/>
      </w:tabs>
      <w:rPr>
        <w:rFonts w:ascii="Arial" w:hAnsi="Arial" w:cs="Arial"/>
        <w:sz w:val="20"/>
        <w:szCs w:val="20"/>
      </w:rPr>
    </w:pPr>
    <w:r w:rsidRPr="00F13A34">
      <w:rPr>
        <w:rFonts w:ascii="Arial" w:hAnsi="Arial" w:cs="Arial"/>
        <w:sz w:val="20"/>
        <w:szCs w:val="20"/>
      </w:rPr>
      <w:t>Health Quality Ontario</w:t>
    </w:r>
    <w:r w:rsidRPr="00F13A34">
      <w:rPr>
        <w:rFonts w:ascii="Arial" w:hAnsi="Arial" w:cs="Arial"/>
        <w:sz w:val="20"/>
        <w:szCs w:val="20"/>
      </w:rPr>
      <w:tab/>
    </w:r>
    <w:r w:rsidRPr="00F13A34">
      <w:rPr>
        <w:rFonts w:ascii="Arial" w:hAnsi="Arial" w:cs="Arial"/>
        <w:sz w:val="20"/>
        <w:szCs w:val="20"/>
      </w:rPr>
      <w:tab/>
      <w:t xml:space="preserve">DI Peer Learning Toolkit Tool 5.2a Common Law Privilege (Wigmore) Quick Facts   </w:t>
    </w:r>
    <w:sdt>
      <w:sdtPr>
        <w:rPr>
          <w:rFonts w:ascii="Arial" w:hAnsi="Arial" w:cs="Arial"/>
          <w:sz w:val="20"/>
          <w:szCs w:val="20"/>
        </w:rPr>
        <w:id w:val="1622958522"/>
        <w:docPartObj>
          <w:docPartGallery w:val="Page Numbers (Bottom of Page)"/>
          <w:docPartUnique/>
        </w:docPartObj>
      </w:sdtPr>
      <w:sdtEndPr>
        <w:rPr>
          <w:noProof/>
        </w:rPr>
      </w:sdtEndPr>
      <w:sdtContent>
        <w:r w:rsidR="009E5AA0" w:rsidRPr="00F13A34">
          <w:rPr>
            <w:rFonts w:ascii="Arial" w:hAnsi="Arial" w:cs="Arial"/>
            <w:sz w:val="20"/>
            <w:szCs w:val="20"/>
          </w:rPr>
          <w:fldChar w:fldCharType="begin"/>
        </w:r>
        <w:r w:rsidR="009E5AA0" w:rsidRPr="00F13A34">
          <w:rPr>
            <w:rFonts w:ascii="Arial" w:hAnsi="Arial" w:cs="Arial"/>
            <w:sz w:val="20"/>
            <w:szCs w:val="20"/>
          </w:rPr>
          <w:instrText xml:space="preserve"> PAGE   \* MERGEFORMAT </w:instrText>
        </w:r>
        <w:r w:rsidR="009E5AA0" w:rsidRPr="00F13A34">
          <w:rPr>
            <w:rFonts w:ascii="Arial" w:hAnsi="Arial" w:cs="Arial"/>
            <w:sz w:val="20"/>
            <w:szCs w:val="20"/>
          </w:rPr>
          <w:fldChar w:fldCharType="separate"/>
        </w:r>
        <w:r w:rsidR="00B25479" w:rsidRPr="00F13A34">
          <w:rPr>
            <w:rFonts w:ascii="Arial" w:hAnsi="Arial" w:cs="Arial"/>
            <w:noProof/>
            <w:sz w:val="20"/>
            <w:szCs w:val="20"/>
          </w:rPr>
          <w:t>3</w:t>
        </w:r>
        <w:r w:rsidR="009E5AA0" w:rsidRPr="00F13A34">
          <w:rPr>
            <w:rFonts w:ascii="Arial" w:hAnsi="Arial" w:cs="Arial"/>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5F21" w14:textId="77777777" w:rsidR="009E5AA0" w:rsidRDefault="009E5AA0">
    <w:pPr>
      <w:pStyle w:val="Footer"/>
      <w:jc w:val="right"/>
    </w:pPr>
  </w:p>
  <w:p w14:paraId="5E546874" w14:textId="77777777" w:rsidR="009E5AA0" w:rsidRDefault="009E5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85782617"/>
      <w:docPartObj>
        <w:docPartGallery w:val="Page Numbers (Bottom of Page)"/>
        <w:docPartUnique/>
      </w:docPartObj>
    </w:sdtPr>
    <w:sdtEndPr>
      <w:rPr>
        <w:noProof/>
        <w:sz w:val="2"/>
        <w:szCs w:val="2"/>
      </w:rPr>
    </w:sdtEndPr>
    <w:sdtContent>
      <w:p w14:paraId="4A5DF4FA" w14:textId="089D153A" w:rsidR="009E5AA0" w:rsidRPr="00F13A34" w:rsidRDefault="00775E9D" w:rsidP="00F13A34">
        <w:pPr>
          <w:pStyle w:val="Footer"/>
          <w:tabs>
            <w:tab w:val="clear" w:pos="4680"/>
            <w:tab w:val="center" w:pos="2410"/>
          </w:tabs>
          <w:rPr>
            <w:rFonts w:ascii="Arial" w:hAnsi="Arial" w:cs="Arial"/>
            <w:sz w:val="2"/>
            <w:szCs w:val="2"/>
          </w:rPr>
        </w:pPr>
        <w:r w:rsidRPr="00F13A34">
          <w:rPr>
            <w:rFonts w:ascii="Arial" w:hAnsi="Arial" w:cs="Arial"/>
            <w:sz w:val="20"/>
            <w:szCs w:val="20"/>
          </w:rPr>
          <w:t>Health Quality Ontario</w:t>
        </w:r>
        <w:r w:rsidR="00E5420A" w:rsidRPr="00F13A34">
          <w:rPr>
            <w:rFonts w:ascii="Arial" w:hAnsi="Arial" w:cs="Arial"/>
            <w:sz w:val="20"/>
            <w:szCs w:val="20"/>
          </w:rPr>
          <w:tab/>
        </w:r>
        <w:r w:rsidRPr="00F13A34">
          <w:rPr>
            <w:rFonts w:ascii="Arial" w:hAnsi="Arial" w:cs="Arial"/>
            <w:sz w:val="20"/>
            <w:szCs w:val="20"/>
          </w:rPr>
          <w:tab/>
          <w:t xml:space="preserve">DI Peer Learning </w:t>
        </w:r>
        <w:r w:rsidR="00F9057E" w:rsidRPr="00F13A34">
          <w:rPr>
            <w:rFonts w:ascii="Arial" w:hAnsi="Arial" w:cs="Arial"/>
            <w:sz w:val="20"/>
            <w:szCs w:val="20"/>
          </w:rPr>
          <w:t xml:space="preserve">Toolkit </w:t>
        </w:r>
        <w:r w:rsidRPr="00F13A34">
          <w:rPr>
            <w:rFonts w:ascii="Arial" w:hAnsi="Arial" w:cs="Arial"/>
            <w:sz w:val="20"/>
            <w:szCs w:val="20"/>
          </w:rPr>
          <w:t>Tool 5.2a Common Law Privile</w:t>
        </w:r>
        <w:r w:rsidR="00E5420A" w:rsidRPr="00F13A34">
          <w:rPr>
            <w:rFonts w:ascii="Arial" w:hAnsi="Arial" w:cs="Arial"/>
            <w:sz w:val="20"/>
            <w:szCs w:val="20"/>
          </w:rPr>
          <w:t xml:space="preserve">ge (Wigmore) </w:t>
        </w:r>
        <w:r w:rsidRPr="00F13A34">
          <w:rPr>
            <w:rFonts w:ascii="Arial" w:hAnsi="Arial" w:cs="Arial"/>
            <w:sz w:val="20"/>
            <w:szCs w:val="20"/>
          </w:rPr>
          <w:t xml:space="preserve">Quick Facts         </w:t>
        </w:r>
        <w:r w:rsidR="009E5AA0" w:rsidRPr="00F13A34">
          <w:rPr>
            <w:rFonts w:ascii="Arial" w:hAnsi="Arial" w:cs="Arial"/>
            <w:sz w:val="20"/>
            <w:szCs w:val="20"/>
          </w:rPr>
          <w:fldChar w:fldCharType="begin"/>
        </w:r>
        <w:r w:rsidR="009E5AA0" w:rsidRPr="00F13A34">
          <w:rPr>
            <w:rFonts w:ascii="Arial" w:hAnsi="Arial" w:cs="Arial"/>
            <w:sz w:val="20"/>
            <w:szCs w:val="20"/>
          </w:rPr>
          <w:instrText xml:space="preserve"> PAGE   \* MERGEFORMAT </w:instrText>
        </w:r>
        <w:r w:rsidR="009E5AA0" w:rsidRPr="00F13A34">
          <w:rPr>
            <w:rFonts w:ascii="Arial" w:hAnsi="Arial" w:cs="Arial"/>
            <w:sz w:val="20"/>
            <w:szCs w:val="20"/>
          </w:rPr>
          <w:fldChar w:fldCharType="separate"/>
        </w:r>
        <w:r w:rsidR="00B25479" w:rsidRPr="00F13A34">
          <w:rPr>
            <w:rFonts w:ascii="Arial" w:hAnsi="Arial" w:cs="Arial"/>
            <w:noProof/>
            <w:sz w:val="20"/>
            <w:szCs w:val="20"/>
          </w:rPr>
          <w:t>1</w:t>
        </w:r>
        <w:r w:rsidR="009E5AA0" w:rsidRPr="00F13A34">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C20F" w14:textId="77777777" w:rsidR="00DE73DB" w:rsidRDefault="00DE73DB" w:rsidP="006F4FB0">
      <w:pPr>
        <w:spacing w:after="0" w:line="240" w:lineRule="auto"/>
      </w:pPr>
      <w:r>
        <w:separator/>
      </w:r>
    </w:p>
  </w:footnote>
  <w:footnote w:type="continuationSeparator" w:id="0">
    <w:p w14:paraId="3E98625E" w14:textId="77777777" w:rsidR="00DE73DB" w:rsidRDefault="00DE73DB" w:rsidP="006F4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151"/>
    <w:multiLevelType w:val="hybridMultilevel"/>
    <w:tmpl w:val="01602486"/>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15:restartNumberingAfterBreak="0">
    <w:nsid w:val="02BA40C6"/>
    <w:multiLevelType w:val="hybridMultilevel"/>
    <w:tmpl w:val="FDE25132"/>
    <w:lvl w:ilvl="0" w:tplc="10090001">
      <w:start w:val="1"/>
      <w:numFmt w:val="bullet"/>
      <w:lvlText w:val=""/>
      <w:lvlJc w:val="left"/>
      <w:pPr>
        <w:ind w:left="1458" w:hanging="360"/>
      </w:pPr>
      <w:rPr>
        <w:rFonts w:ascii="Symbol" w:hAnsi="Symbol" w:hint="default"/>
      </w:rPr>
    </w:lvl>
    <w:lvl w:ilvl="1" w:tplc="10090003" w:tentative="1">
      <w:start w:val="1"/>
      <w:numFmt w:val="bullet"/>
      <w:lvlText w:val="o"/>
      <w:lvlJc w:val="left"/>
      <w:pPr>
        <w:ind w:left="2178" w:hanging="360"/>
      </w:pPr>
      <w:rPr>
        <w:rFonts w:ascii="Courier New" w:hAnsi="Courier New" w:cs="Courier New" w:hint="default"/>
      </w:rPr>
    </w:lvl>
    <w:lvl w:ilvl="2" w:tplc="10090005" w:tentative="1">
      <w:start w:val="1"/>
      <w:numFmt w:val="bullet"/>
      <w:lvlText w:val=""/>
      <w:lvlJc w:val="left"/>
      <w:pPr>
        <w:ind w:left="2898" w:hanging="360"/>
      </w:pPr>
      <w:rPr>
        <w:rFonts w:ascii="Wingdings" w:hAnsi="Wingdings" w:hint="default"/>
      </w:rPr>
    </w:lvl>
    <w:lvl w:ilvl="3" w:tplc="10090001" w:tentative="1">
      <w:start w:val="1"/>
      <w:numFmt w:val="bullet"/>
      <w:lvlText w:val=""/>
      <w:lvlJc w:val="left"/>
      <w:pPr>
        <w:ind w:left="3618" w:hanging="360"/>
      </w:pPr>
      <w:rPr>
        <w:rFonts w:ascii="Symbol" w:hAnsi="Symbol" w:hint="default"/>
      </w:rPr>
    </w:lvl>
    <w:lvl w:ilvl="4" w:tplc="10090003" w:tentative="1">
      <w:start w:val="1"/>
      <w:numFmt w:val="bullet"/>
      <w:lvlText w:val="o"/>
      <w:lvlJc w:val="left"/>
      <w:pPr>
        <w:ind w:left="4338" w:hanging="360"/>
      </w:pPr>
      <w:rPr>
        <w:rFonts w:ascii="Courier New" w:hAnsi="Courier New" w:cs="Courier New" w:hint="default"/>
      </w:rPr>
    </w:lvl>
    <w:lvl w:ilvl="5" w:tplc="10090005" w:tentative="1">
      <w:start w:val="1"/>
      <w:numFmt w:val="bullet"/>
      <w:lvlText w:val=""/>
      <w:lvlJc w:val="left"/>
      <w:pPr>
        <w:ind w:left="5058" w:hanging="360"/>
      </w:pPr>
      <w:rPr>
        <w:rFonts w:ascii="Wingdings" w:hAnsi="Wingdings" w:hint="default"/>
      </w:rPr>
    </w:lvl>
    <w:lvl w:ilvl="6" w:tplc="10090001" w:tentative="1">
      <w:start w:val="1"/>
      <w:numFmt w:val="bullet"/>
      <w:lvlText w:val=""/>
      <w:lvlJc w:val="left"/>
      <w:pPr>
        <w:ind w:left="5778" w:hanging="360"/>
      </w:pPr>
      <w:rPr>
        <w:rFonts w:ascii="Symbol" w:hAnsi="Symbol" w:hint="default"/>
      </w:rPr>
    </w:lvl>
    <w:lvl w:ilvl="7" w:tplc="10090003" w:tentative="1">
      <w:start w:val="1"/>
      <w:numFmt w:val="bullet"/>
      <w:lvlText w:val="o"/>
      <w:lvlJc w:val="left"/>
      <w:pPr>
        <w:ind w:left="6498" w:hanging="360"/>
      </w:pPr>
      <w:rPr>
        <w:rFonts w:ascii="Courier New" w:hAnsi="Courier New" w:cs="Courier New" w:hint="default"/>
      </w:rPr>
    </w:lvl>
    <w:lvl w:ilvl="8" w:tplc="10090005" w:tentative="1">
      <w:start w:val="1"/>
      <w:numFmt w:val="bullet"/>
      <w:lvlText w:val=""/>
      <w:lvlJc w:val="left"/>
      <w:pPr>
        <w:ind w:left="7218" w:hanging="360"/>
      </w:pPr>
      <w:rPr>
        <w:rFonts w:ascii="Wingdings" w:hAnsi="Wingdings" w:hint="default"/>
      </w:rPr>
    </w:lvl>
  </w:abstractNum>
  <w:abstractNum w:abstractNumId="2" w15:restartNumberingAfterBreak="0">
    <w:nsid w:val="0F3E7A58"/>
    <w:multiLevelType w:val="hybridMultilevel"/>
    <w:tmpl w:val="DB56FC54"/>
    <w:lvl w:ilvl="0" w:tplc="5172F7B8">
      <w:start w:val="1"/>
      <w:numFmt w:val="bullet"/>
      <w:lvlText w:val="-"/>
      <w:lvlJc w:val="left"/>
      <w:pPr>
        <w:ind w:left="533" w:hanging="360"/>
      </w:pPr>
      <w:rPr>
        <w:rFonts w:ascii="Arial" w:eastAsiaTheme="minorHAnsi" w:hAnsi="Arial" w:cs="Arial" w:hint="default"/>
        <w:color w:val="000000" w:themeColor="text1"/>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15:restartNumberingAfterBreak="0">
    <w:nsid w:val="18FB79DB"/>
    <w:multiLevelType w:val="hybridMultilevel"/>
    <w:tmpl w:val="172C4EAA"/>
    <w:lvl w:ilvl="0" w:tplc="7DEAF156">
      <w:start w:val="1"/>
      <w:numFmt w:val="decimal"/>
      <w:lvlText w:val="%1)"/>
      <w:lvlJc w:val="left"/>
      <w:pPr>
        <w:ind w:left="533" w:hanging="360"/>
      </w:pPr>
      <w:rPr>
        <w:rFonts w:hint="default"/>
      </w:rPr>
    </w:lvl>
    <w:lvl w:ilvl="1" w:tplc="10090019" w:tentative="1">
      <w:start w:val="1"/>
      <w:numFmt w:val="lowerLetter"/>
      <w:lvlText w:val="%2."/>
      <w:lvlJc w:val="left"/>
      <w:pPr>
        <w:ind w:left="1253" w:hanging="360"/>
      </w:pPr>
    </w:lvl>
    <w:lvl w:ilvl="2" w:tplc="1009001B" w:tentative="1">
      <w:start w:val="1"/>
      <w:numFmt w:val="lowerRoman"/>
      <w:lvlText w:val="%3."/>
      <w:lvlJc w:val="right"/>
      <w:pPr>
        <w:ind w:left="1973" w:hanging="180"/>
      </w:pPr>
    </w:lvl>
    <w:lvl w:ilvl="3" w:tplc="1009000F" w:tentative="1">
      <w:start w:val="1"/>
      <w:numFmt w:val="decimal"/>
      <w:lvlText w:val="%4."/>
      <w:lvlJc w:val="left"/>
      <w:pPr>
        <w:ind w:left="2693" w:hanging="360"/>
      </w:pPr>
    </w:lvl>
    <w:lvl w:ilvl="4" w:tplc="10090019" w:tentative="1">
      <w:start w:val="1"/>
      <w:numFmt w:val="lowerLetter"/>
      <w:lvlText w:val="%5."/>
      <w:lvlJc w:val="left"/>
      <w:pPr>
        <w:ind w:left="3413" w:hanging="360"/>
      </w:pPr>
    </w:lvl>
    <w:lvl w:ilvl="5" w:tplc="1009001B" w:tentative="1">
      <w:start w:val="1"/>
      <w:numFmt w:val="lowerRoman"/>
      <w:lvlText w:val="%6."/>
      <w:lvlJc w:val="right"/>
      <w:pPr>
        <w:ind w:left="4133" w:hanging="180"/>
      </w:pPr>
    </w:lvl>
    <w:lvl w:ilvl="6" w:tplc="1009000F" w:tentative="1">
      <w:start w:val="1"/>
      <w:numFmt w:val="decimal"/>
      <w:lvlText w:val="%7."/>
      <w:lvlJc w:val="left"/>
      <w:pPr>
        <w:ind w:left="4853" w:hanging="360"/>
      </w:pPr>
    </w:lvl>
    <w:lvl w:ilvl="7" w:tplc="10090019" w:tentative="1">
      <w:start w:val="1"/>
      <w:numFmt w:val="lowerLetter"/>
      <w:lvlText w:val="%8."/>
      <w:lvlJc w:val="left"/>
      <w:pPr>
        <w:ind w:left="5573" w:hanging="360"/>
      </w:pPr>
    </w:lvl>
    <w:lvl w:ilvl="8" w:tplc="1009001B" w:tentative="1">
      <w:start w:val="1"/>
      <w:numFmt w:val="lowerRoman"/>
      <w:lvlText w:val="%9."/>
      <w:lvlJc w:val="right"/>
      <w:pPr>
        <w:ind w:left="6293" w:hanging="180"/>
      </w:pPr>
    </w:lvl>
  </w:abstractNum>
  <w:abstractNum w:abstractNumId="4" w15:restartNumberingAfterBreak="0">
    <w:nsid w:val="1ACC39A9"/>
    <w:multiLevelType w:val="hybridMultilevel"/>
    <w:tmpl w:val="9F18C98A"/>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 w15:restartNumberingAfterBreak="0">
    <w:nsid w:val="2679203E"/>
    <w:multiLevelType w:val="hybridMultilevel"/>
    <w:tmpl w:val="4A1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25DD5"/>
    <w:multiLevelType w:val="hybridMultilevel"/>
    <w:tmpl w:val="9A66E628"/>
    <w:lvl w:ilvl="0" w:tplc="0409000F">
      <w:start w:val="1"/>
      <w:numFmt w:val="decimal"/>
      <w:lvlText w:val="%1."/>
      <w:lvlJc w:val="left"/>
      <w:pPr>
        <w:ind w:left="9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F3DE0"/>
    <w:multiLevelType w:val="hybridMultilevel"/>
    <w:tmpl w:val="0A26AC2E"/>
    <w:lvl w:ilvl="0" w:tplc="1009000F">
      <w:start w:val="1"/>
      <w:numFmt w:val="decimal"/>
      <w:lvlText w:val="%1."/>
      <w:lvlJc w:val="left"/>
      <w:pPr>
        <w:ind w:left="893" w:hanging="360"/>
      </w:pPr>
    </w:lvl>
    <w:lvl w:ilvl="1" w:tplc="10090019" w:tentative="1">
      <w:start w:val="1"/>
      <w:numFmt w:val="lowerLetter"/>
      <w:lvlText w:val="%2."/>
      <w:lvlJc w:val="left"/>
      <w:pPr>
        <w:ind w:left="1613" w:hanging="360"/>
      </w:pPr>
    </w:lvl>
    <w:lvl w:ilvl="2" w:tplc="1009001B" w:tentative="1">
      <w:start w:val="1"/>
      <w:numFmt w:val="lowerRoman"/>
      <w:lvlText w:val="%3."/>
      <w:lvlJc w:val="right"/>
      <w:pPr>
        <w:ind w:left="2333" w:hanging="180"/>
      </w:pPr>
    </w:lvl>
    <w:lvl w:ilvl="3" w:tplc="1009000F" w:tentative="1">
      <w:start w:val="1"/>
      <w:numFmt w:val="decimal"/>
      <w:lvlText w:val="%4."/>
      <w:lvlJc w:val="left"/>
      <w:pPr>
        <w:ind w:left="3053" w:hanging="360"/>
      </w:pPr>
    </w:lvl>
    <w:lvl w:ilvl="4" w:tplc="10090019" w:tentative="1">
      <w:start w:val="1"/>
      <w:numFmt w:val="lowerLetter"/>
      <w:lvlText w:val="%5."/>
      <w:lvlJc w:val="left"/>
      <w:pPr>
        <w:ind w:left="3773" w:hanging="360"/>
      </w:pPr>
    </w:lvl>
    <w:lvl w:ilvl="5" w:tplc="1009001B" w:tentative="1">
      <w:start w:val="1"/>
      <w:numFmt w:val="lowerRoman"/>
      <w:lvlText w:val="%6."/>
      <w:lvlJc w:val="right"/>
      <w:pPr>
        <w:ind w:left="4493" w:hanging="180"/>
      </w:pPr>
    </w:lvl>
    <w:lvl w:ilvl="6" w:tplc="1009000F" w:tentative="1">
      <w:start w:val="1"/>
      <w:numFmt w:val="decimal"/>
      <w:lvlText w:val="%7."/>
      <w:lvlJc w:val="left"/>
      <w:pPr>
        <w:ind w:left="5213" w:hanging="360"/>
      </w:pPr>
    </w:lvl>
    <w:lvl w:ilvl="7" w:tplc="10090019" w:tentative="1">
      <w:start w:val="1"/>
      <w:numFmt w:val="lowerLetter"/>
      <w:lvlText w:val="%8."/>
      <w:lvlJc w:val="left"/>
      <w:pPr>
        <w:ind w:left="5933" w:hanging="360"/>
      </w:pPr>
    </w:lvl>
    <w:lvl w:ilvl="8" w:tplc="1009001B" w:tentative="1">
      <w:start w:val="1"/>
      <w:numFmt w:val="lowerRoman"/>
      <w:lvlText w:val="%9."/>
      <w:lvlJc w:val="right"/>
      <w:pPr>
        <w:ind w:left="6653" w:hanging="180"/>
      </w:pPr>
    </w:lvl>
  </w:abstractNum>
  <w:abstractNum w:abstractNumId="8" w15:restartNumberingAfterBreak="0">
    <w:nsid w:val="34B535A1"/>
    <w:multiLevelType w:val="hybridMultilevel"/>
    <w:tmpl w:val="0922A846"/>
    <w:lvl w:ilvl="0" w:tplc="9986506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9" w15:restartNumberingAfterBreak="0">
    <w:nsid w:val="3DCF5D84"/>
    <w:multiLevelType w:val="hybridMultilevel"/>
    <w:tmpl w:val="DA7EA530"/>
    <w:lvl w:ilvl="0" w:tplc="8D8004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667D8D"/>
    <w:multiLevelType w:val="hybridMultilevel"/>
    <w:tmpl w:val="76A07312"/>
    <w:lvl w:ilvl="0" w:tplc="04090001">
      <w:start w:val="1"/>
      <w:numFmt w:val="bullet"/>
      <w:lvlText w:val=""/>
      <w:lvlJc w:val="left"/>
      <w:pPr>
        <w:ind w:left="1080" w:hanging="360"/>
      </w:pPr>
      <w:rPr>
        <w:rFonts w:ascii="Symbol" w:hAnsi="Symbol" w:hint="default"/>
      </w:rPr>
    </w:lvl>
    <w:lvl w:ilvl="1" w:tplc="B7AE070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615C7"/>
    <w:multiLevelType w:val="hybridMultilevel"/>
    <w:tmpl w:val="40BAB4C0"/>
    <w:lvl w:ilvl="0" w:tplc="753E3596">
      <w:start w:val="1"/>
      <w:numFmt w:val="lowerRoman"/>
      <w:lvlText w:val="%1)"/>
      <w:lvlJc w:val="left"/>
      <w:pPr>
        <w:ind w:left="893" w:hanging="360"/>
      </w:pPr>
      <w:rPr>
        <w:rFonts w:hint="default"/>
      </w:rPr>
    </w:lvl>
    <w:lvl w:ilvl="1" w:tplc="10090019" w:tentative="1">
      <w:start w:val="1"/>
      <w:numFmt w:val="lowerLetter"/>
      <w:lvlText w:val="%2."/>
      <w:lvlJc w:val="left"/>
      <w:pPr>
        <w:ind w:left="1613" w:hanging="360"/>
      </w:pPr>
    </w:lvl>
    <w:lvl w:ilvl="2" w:tplc="1009001B" w:tentative="1">
      <w:start w:val="1"/>
      <w:numFmt w:val="lowerRoman"/>
      <w:lvlText w:val="%3."/>
      <w:lvlJc w:val="right"/>
      <w:pPr>
        <w:ind w:left="2333" w:hanging="180"/>
      </w:pPr>
    </w:lvl>
    <w:lvl w:ilvl="3" w:tplc="1009000F" w:tentative="1">
      <w:start w:val="1"/>
      <w:numFmt w:val="decimal"/>
      <w:lvlText w:val="%4."/>
      <w:lvlJc w:val="left"/>
      <w:pPr>
        <w:ind w:left="3053" w:hanging="360"/>
      </w:pPr>
    </w:lvl>
    <w:lvl w:ilvl="4" w:tplc="10090019" w:tentative="1">
      <w:start w:val="1"/>
      <w:numFmt w:val="lowerLetter"/>
      <w:lvlText w:val="%5."/>
      <w:lvlJc w:val="left"/>
      <w:pPr>
        <w:ind w:left="3773" w:hanging="360"/>
      </w:pPr>
    </w:lvl>
    <w:lvl w:ilvl="5" w:tplc="1009001B" w:tentative="1">
      <w:start w:val="1"/>
      <w:numFmt w:val="lowerRoman"/>
      <w:lvlText w:val="%6."/>
      <w:lvlJc w:val="right"/>
      <w:pPr>
        <w:ind w:left="4493" w:hanging="180"/>
      </w:pPr>
    </w:lvl>
    <w:lvl w:ilvl="6" w:tplc="1009000F" w:tentative="1">
      <w:start w:val="1"/>
      <w:numFmt w:val="decimal"/>
      <w:lvlText w:val="%7."/>
      <w:lvlJc w:val="left"/>
      <w:pPr>
        <w:ind w:left="5213" w:hanging="360"/>
      </w:pPr>
    </w:lvl>
    <w:lvl w:ilvl="7" w:tplc="10090019" w:tentative="1">
      <w:start w:val="1"/>
      <w:numFmt w:val="lowerLetter"/>
      <w:lvlText w:val="%8."/>
      <w:lvlJc w:val="left"/>
      <w:pPr>
        <w:ind w:left="5933" w:hanging="360"/>
      </w:pPr>
    </w:lvl>
    <w:lvl w:ilvl="8" w:tplc="1009001B" w:tentative="1">
      <w:start w:val="1"/>
      <w:numFmt w:val="lowerRoman"/>
      <w:lvlText w:val="%9."/>
      <w:lvlJc w:val="right"/>
      <w:pPr>
        <w:ind w:left="6653" w:hanging="180"/>
      </w:pPr>
    </w:lvl>
  </w:abstractNum>
  <w:abstractNum w:abstractNumId="12" w15:restartNumberingAfterBreak="0">
    <w:nsid w:val="4F845310"/>
    <w:multiLevelType w:val="hybridMultilevel"/>
    <w:tmpl w:val="9A66E6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E2268"/>
    <w:multiLevelType w:val="hybridMultilevel"/>
    <w:tmpl w:val="5C84B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C10AD"/>
    <w:multiLevelType w:val="hybridMultilevel"/>
    <w:tmpl w:val="6A001296"/>
    <w:lvl w:ilvl="0" w:tplc="D384E4DA">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color w:val="auto"/>
      </w:rPr>
    </w:lvl>
    <w:lvl w:ilvl="2" w:tplc="F31E728A">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E6165"/>
    <w:multiLevelType w:val="hybridMultilevel"/>
    <w:tmpl w:val="4A1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20D99"/>
    <w:multiLevelType w:val="hybridMultilevel"/>
    <w:tmpl w:val="9A66E628"/>
    <w:lvl w:ilvl="0" w:tplc="0409000F">
      <w:start w:val="1"/>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36B2E"/>
    <w:multiLevelType w:val="hybridMultilevel"/>
    <w:tmpl w:val="44086666"/>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8" w15:restartNumberingAfterBreak="0">
    <w:nsid w:val="7A66685F"/>
    <w:multiLevelType w:val="hybridMultilevel"/>
    <w:tmpl w:val="A57055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7"/>
  </w:num>
  <w:num w:numId="3">
    <w:abstractNumId w:val="0"/>
  </w:num>
  <w:num w:numId="4">
    <w:abstractNumId w:val="13"/>
  </w:num>
  <w:num w:numId="5">
    <w:abstractNumId w:val="5"/>
  </w:num>
  <w:num w:numId="6">
    <w:abstractNumId w:val="12"/>
  </w:num>
  <w:num w:numId="7">
    <w:abstractNumId w:val="15"/>
  </w:num>
  <w:num w:numId="8">
    <w:abstractNumId w:val="10"/>
  </w:num>
  <w:num w:numId="9">
    <w:abstractNumId w:val="14"/>
  </w:num>
  <w:num w:numId="10">
    <w:abstractNumId w:val="2"/>
  </w:num>
  <w:num w:numId="11">
    <w:abstractNumId w:val="8"/>
  </w:num>
  <w:num w:numId="12">
    <w:abstractNumId w:val="16"/>
  </w:num>
  <w:num w:numId="13">
    <w:abstractNumId w:val="6"/>
  </w:num>
  <w:num w:numId="14">
    <w:abstractNumId w:val="18"/>
  </w:num>
  <w:num w:numId="15">
    <w:abstractNumId w:val="9"/>
  </w:num>
  <w:num w:numId="16">
    <w:abstractNumId w:val="11"/>
  </w:num>
  <w:num w:numId="17">
    <w:abstractNumId w:val="7"/>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634"/>
    <w:rsid w:val="000030B7"/>
    <w:rsid w:val="00031AC9"/>
    <w:rsid w:val="00043181"/>
    <w:rsid w:val="0006032F"/>
    <w:rsid w:val="0006665D"/>
    <w:rsid w:val="00071632"/>
    <w:rsid w:val="0008549E"/>
    <w:rsid w:val="00097396"/>
    <w:rsid w:val="000A38FA"/>
    <w:rsid w:val="000C0101"/>
    <w:rsid w:val="000D307E"/>
    <w:rsid w:val="000E69B4"/>
    <w:rsid w:val="000E6BF8"/>
    <w:rsid w:val="000F00EA"/>
    <w:rsid w:val="000F548C"/>
    <w:rsid w:val="0010077E"/>
    <w:rsid w:val="00103BA8"/>
    <w:rsid w:val="001279C3"/>
    <w:rsid w:val="001512E3"/>
    <w:rsid w:val="00154F7C"/>
    <w:rsid w:val="001767F5"/>
    <w:rsid w:val="00197F32"/>
    <w:rsid w:val="001A70A6"/>
    <w:rsid w:val="001A7946"/>
    <w:rsid w:val="001B5546"/>
    <w:rsid w:val="001D5133"/>
    <w:rsid w:val="00207F85"/>
    <w:rsid w:val="00211A71"/>
    <w:rsid w:val="00230EF9"/>
    <w:rsid w:val="00240D05"/>
    <w:rsid w:val="00280A57"/>
    <w:rsid w:val="0028198F"/>
    <w:rsid w:val="002A5E79"/>
    <w:rsid w:val="002B02B3"/>
    <w:rsid w:val="002B6306"/>
    <w:rsid w:val="002C6B24"/>
    <w:rsid w:val="002D02A2"/>
    <w:rsid w:val="002E16DA"/>
    <w:rsid w:val="00324776"/>
    <w:rsid w:val="00350A23"/>
    <w:rsid w:val="003A256E"/>
    <w:rsid w:val="003A4E33"/>
    <w:rsid w:val="003C6629"/>
    <w:rsid w:val="003C7686"/>
    <w:rsid w:val="003F201D"/>
    <w:rsid w:val="00405BF2"/>
    <w:rsid w:val="00411D3A"/>
    <w:rsid w:val="0042676E"/>
    <w:rsid w:val="004314B1"/>
    <w:rsid w:val="00446769"/>
    <w:rsid w:val="004514AB"/>
    <w:rsid w:val="00473B64"/>
    <w:rsid w:val="00486645"/>
    <w:rsid w:val="004976CF"/>
    <w:rsid w:val="004D26CC"/>
    <w:rsid w:val="004E1C34"/>
    <w:rsid w:val="004F5571"/>
    <w:rsid w:val="005177A6"/>
    <w:rsid w:val="0053115F"/>
    <w:rsid w:val="00537B59"/>
    <w:rsid w:val="00545CFF"/>
    <w:rsid w:val="00571AC2"/>
    <w:rsid w:val="00573FD3"/>
    <w:rsid w:val="00582266"/>
    <w:rsid w:val="005D5642"/>
    <w:rsid w:val="00627B29"/>
    <w:rsid w:val="006A1829"/>
    <w:rsid w:val="006D7F13"/>
    <w:rsid w:val="006E2E4E"/>
    <w:rsid w:val="006E7B30"/>
    <w:rsid w:val="006F4FB0"/>
    <w:rsid w:val="007000F9"/>
    <w:rsid w:val="00700C76"/>
    <w:rsid w:val="00701587"/>
    <w:rsid w:val="00707A63"/>
    <w:rsid w:val="0071432F"/>
    <w:rsid w:val="00726E64"/>
    <w:rsid w:val="00731219"/>
    <w:rsid w:val="007322EE"/>
    <w:rsid w:val="00772977"/>
    <w:rsid w:val="00775E9D"/>
    <w:rsid w:val="00782654"/>
    <w:rsid w:val="00785C68"/>
    <w:rsid w:val="007A1C93"/>
    <w:rsid w:val="007F0B32"/>
    <w:rsid w:val="00807BB9"/>
    <w:rsid w:val="00826CC5"/>
    <w:rsid w:val="0083057A"/>
    <w:rsid w:val="00830E30"/>
    <w:rsid w:val="00832891"/>
    <w:rsid w:val="00835746"/>
    <w:rsid w:val="00842B3F"/>
    <w:rsid w:val="008A3DD7"/>
    <w:rsid w:val="008D6D49"/>
    <w:rsid w:val="008E1722"/>
    <w:rsid w:val="008F2963"/>
    <w:rsid w:val="00901AA4"/>
    <w:rsid w:val="009141E9"/>
    <w:rsid w:val="00922296"/>
    <w:rsid w:val="009A023A"/>
    <w:rsid w:val="009C1F4C"/>
    <w:rsid w:val="009C2889"/>
    <w:rsid w:val="009D7F80"/>
    <w:rsid w:val="009E3808"/>
    <w:rsid w:val="009E5AA0"/>
    <w:rsid w:val="009F1FC8"/>
    <w:rsid w:val="00A019FB"/>
    <w:rsid w:val="00A04431"/>
    <w:rsid w:val="00A146C3"/>
    <w:rsid w:val="00A22CD5"/>
    <w:rsid w:val="00A23FF7"/>
    <w:rsid w:val="00A41275"/>
    <w:rsid w:val="00A45F0F"/>
    <w:rsid w:val="00A47B65"/>
    <w:rsid w:val="00A575A3"/>
    <w:rsid w:val="00A60C21"/>
    <w:rsid w:val="00A708C3"/>
    <w:rsid w:val="00A96CD1"/>
    <w:rsid w:val="00AA127A"/>
    <w:rsid w:val="00AC3AC0"/>
    <w:rsid w:val="00AE1D78"/>
    <w:rsid w:val="00B020F4"/>
    <w:rsid w:val="00B1123F"/>
    <w:rsid w:val="00B14ECB"/>
    <w:rsid w:val="00B22972"/>
    <w:rsid w:val="00B25479"/>
    <w:rsid w:val="00B340CE"/>
    <w:rsid w:val="00B67D36"/>
    <w:rsid w:val="00B74218"/>
    <w:rsid w:val="00B911B3"/>
    <w:rsid w:val="00BB4634"/>
    <w:rsid w:val="00BD153D"/>
    <w:rsid w:val="00BD27A4"/>
    <w:rsid w:val="00BD335B"/>
    <w:rsid w:val="00C256BD"/>
    <w:rsid w:val="00C36FAB"/>
    <w:rsid w:val="00C43C90"/>
    <w:rsid w:val="00C72AE7"/>
    <w:rsid w:val="00C80AAA"/>
    <w:rsid w:val="00CB4C62"/>
    <w:rsid w:val="00CC4027"/>
    <w:rsid w:val="00CE7766"/>
    <w:rsid w:val="00CF5EA7"/>
    <w:rsid w:val="00CF6CB4"/>
    <w:rsid w:val="00D358D2"/>
    <w:rsid w:val="00D57B88"/>
    <w:rsid w:val="00D6309A"/>
    <w:rsid w:val="00D63DBE"/>
    <w:rsid w:val="00D70A13"/>
    <w:rsid w:val="00D70D35"/>
    <w:rsid w:val="00DA2098"/>
    <w:rsid w:val="00DC59E7"/>
    <w:rsid w:val="00DD4942"/>
    <w:rsid w:val="00DD6B07"/>
    <w:rsid w:val="00DE73DB"/>
    <w:rsid w:val="00DF1902"/>
    <w:rsid w:val="00E24496"/>
    <w:rsid w:val="00E329B5"/>
    <w:rsid w:val="00E34262"/>
    <w:rsid w:val="00E35FC0"/>
    <w:rsid w:val="00E44360"/>
    <w:rsid w:val="00E5420A"/>
    <w:rsid w:val="00E609B0"/>
    <w:rsid w:val="00EA70F6"/>
    <w:rsid w:val="00EC512E"/>
    <w:rsid w:val="00ED1DDB"/>
    <w:rsid w:val="00EE545A"/>
    <w:rsid w:val="00F022B5"/>
    <w:rsid w:val="00F0482E"/>
    <w:rsid w:val="00F12DA3"/>
    <w:rsid w:val="00F13A34"/>
    <w:rsid w:val="00F13D4D"/>
    <w:rsid w:val="00F14087"/>
    <w:rsid w:val="00F17200"/>
    <w:rsid w:val="00F31CAF"/>
    <w:rsid w:val="00F34461"/>
    <w:rsid w:val="00F679C1"/>
    <w:rsid w:val="00F71571"/>
    <w:rsid w:val="00F73BB9"/>
    <w:rsid w:val="00F73F77"/>
    <w:rsid w:val="00F76E24"/>
    <w:rsid w:val="00F9057E"/>
    <w:rsid w:val="00F91920"/>
    <w:rsid w:val="00FC0F77"/>
    <w:rsid w:val="00FE711A"/>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DC785"/>
  <w15:chartTrackingRefBased/>
  <w15:docId w15:val="{8BE3A2C8-F553-4141-AAC3-5C84F13C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2E3"/>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3">
    <w:name w:val="heading 3"/>
    <w:basedOn w:val="Normal"/>
    <w:next w:val="Normal"/>
    <w:link w:val="Heading3Char"/>
    <w:uiPriority w:val="9"/>
    <w:unhideWhenUsed/>
    <w:qFormat/>
    <w:rsid w:val="007322E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34"/>
    <w:rPr>
      <w:rFonts w:ascii="Segoe UI" w:hAnsi="Segoe UI" w:cs="Segoe UI"/>
      <w:sz w:val="18"/>
      <w:szCs w:val="18"/>
    </w:rPr>
  </w:style>
  <w:style w:type="paragraph" w:styleId="ListParagraph">
    <w:name w:val="List Paragraph"/>
    <w:basedOn w:val="Normal"/>
    <w:uiPriority w:val="34"/>
    <w:qFormat/>
    <w:rsid w:val="00211A71"/>
    <w:pPr>
      <w:ind w:left="720"/>
      <w:contextualSpacing/>
    </w:pPr>
  </w:style>
  <w:style w:type="paragraph" w:styleId="NormalWeb">
    <w:name w:val="Normal (Web)"/>
    <w:basedOn w:val="Normal"/>
    <w:uiPriority w:val="99"/>
    <w:unhideWhenUsed/>
    <w:rsid w:val="00211A7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F4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FB0"/>
  </w:style>
  <w:style w:type="paragraph" w:styleId="Footer">
    <w:name w:val="footer"/>
    <w:basedOn w:val="Normal"/>
    <w:link w:val="FooterChar"/>
    <w:uiPriority w:val="99"/>
    <w:unhideWhenUsed/>
    <w:rsid w:val="006F4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FB0"/>
  </w:style>
  <w:style w:type="paragraph" w:customStyle="1" w:styleId="HQOTEXT">
    <w:name w:val="HQO_TEXT"/>
    <w:basedOn w:val="Normal"/>
    <w:qFormat/>
    <w:rsid w:val="009E5AA0"/>
    <w:pPr>
      <w:spacing w:after="0" w:line="240" w:lineRule="auto"/>
    </w:pPr>
    <w:rPr>
      <w:rFonts w:ascii="Arial" w:hAnsi="Arial" w:cs="Arial"/>
      <w:color w:val="000000" w:themeColor="text1"/>
      <w:lang w:val="en-CA"/>
    </w:rPr>
  </w:style>
  <w:style w:type="paragraph" w:customStyle="1" w:styleId="H1HQO2015covertitle">
    <w:name w:val="H1_HQO_2015_covertitle"/>
    <w:basedOn w:val="Normal"/>
    <w:autoRedefine/>
    <w:qFormat/>
    <w:rsid w:val="00F91920"/>
    <w:pPr>
      <w:widowControl w:val="0"/>
      <w:suppressAutoHyphens/>
      <w:autoSpaceDE w:val="0"/>
      <w:autoSpaceDN w:val="0"/>
      <w:adjustRightInd w:val="0"/>
      <w:spacing w:after="0" w:line="288" w:lineRule="auto"/>
      <w:ind w:left="-180"/>
      <w:textAlignment w:val="center"/>
    </w:pPr>
    <w:rPr>
      <w:rFonts w:ascii="Arial" w:hAnsi="Arial" w:cs="Arial"/>
      <w:color w:val="00A0AF"/>
      <w:sz w:val="44"/>
      <w:szCs w:val="48"/>
    </w:rPr>
  </w:style>
  <w:style w:type="paragraph" w:customStyle="1" w:styleId="HQO2015DateofReport">
    <w:name w:val="HQO_2015_Date of Report"/>
    <w:basedOn w:val="Normal"/>
    <w:qFormat/>
    <w:rsid w:val="009E5AA0"/>
    <w:pPr>
      <w:widowControl w:val="0"/>
      <w:suppressAutoHyphens/>
      <w:autoSpaceDE w:val="0"/>
      <w:autoSpaceDN w:val="0"/>
      <w:adjustRightInd w:val="0"/>
      <w:spacing w:after="0" w:line="288" w:lineRule="auto"/>
      <w:textAlignment w:val="center"/>
    </w:pPr>
    <w:rPr>
      <w:rFonts w:ascii="Arial" w:hAnsi="Arial" w:cs="Arial"/>
      <w:b/>
      <w:bCs/>
      <w:color w:val="00A0AF"/>
      <w:sz w:val="28"/>
      <w:szCs w:val="28"/>
    </w:rPr>
  </w:style>
  <w:style w:type="paragraph" w:customStyle="1" w:styleId="HQOSUBHEADS">
    <w:name w:val="HQO_SUBHEADS"/>
    <w:basedOn w:val="Normal"/>
    <w:qFormat/>
    <w:rsid w:val="009E5AA0"/>
    <w:pPr>
      <w:spacing w:after="0" w:line="240" w:lineRule="auto"/>
    </w:pPr>
    <w:rPr>
      <w:rFonts w:ascii="Arial" w:hAnsi="Arial" w:cs="Arial"/>
      <w:b/>
      <w:color w:val="006579"/>
      <w:sz w:val="24"/>
      <w:szCs w:val="24"/>
      <w:lang w:val="en-CA"/>
    </w:rPr>
  </w:style>
  <w:style w:type="character" w:styleId="CommentReference">
    <w:name w:val="annotation reference"/>
    <w:basedOn w:val="DefaultParagraphFont"/>
    <w:uiPriority w:val="99"/>
    <w:semiHidden/>
    <w:unhideWhenUsed/>
    <w:rsid w:val="00CE7766"/>
    <w:rPr>
      <w:sz w:val="16"/>
      <w:szCs w:val="16"/>
    </w:rPr>
  </w:style>
  <w:style w:type="paragraph" w:styleId="CommentText">
    <w:name w:val="annotation text"/>
    <w:basedOn w:val="Normal"/>
    <w:link w:val="CommentTextChar"/>
    <w:uiPriority w:val="99"/>
    <w:semiHidden/>
    <w:unhideWhenUsed/>
    <w:rsid w:val="00CE7766"/>
    <w:pPr>
      <w:spacing w:line="240" w:lineRule="auto"/>
    </w:pPr>
    <w:rPr>
      <w:sz w:val="20"/>
      <w:szCs w:val="20"/>
    </w:rPr>
  </w:style>
  <w:style w:type="character" w:customStyle="1" w:styleId="CommentTextChar">
    <w:name w:val="Comment Text Char"/>
    <w:basedOn w:val="DefaultParagraphFont"/>
    <w:link w:val="CommentText"/>
    <w:uiPriority w:val="99"/>
    <w:semiHidden/>
    <w:rsid w:val="00CE7766"/>
    <w:rPr>
      <w:sz w:val="20"/>
      <w:szCs w:val="20"/>
    </w:rPr>
  </w:style>
  <w:style w:type="paragraph" w:styleId="CommentSubject">
    <w:name w:val="annotation subject"/>
    <w:basedOn w:val="CommentText"/>
    <w:next w:val="CommentText"/>
    <w:link w:val="CommentSubjectChar"/>
    <w:uiPriority w:val="99"/>
    <w:semiHidden/>
    <w:unhideWhenUsed/>
    <w:rsid w:val="00CE7766"/>
    <w:rPr>
      <w:b/>
      <w:bCs/>
    </w:rPr>
  </w:style>
  <w:style w:type="character" w:customStyle="1" w:styleId="CommentSubjectChar">
    <w:name w:val="Comment Subject Char"/>
    <w:basedOn w:val="CommentTextChar"/>
    <w:link w:val="CommentSubject"/>
    <w:uiPriority w:val="99"/>
    <w:semiHidden/>
    <w:rsid w:val="00CE7766"/>
    <w:rPr>
      <w:b/>
      <w:bCs/>
      <w:sz w:val="20"/>
      <w:szCs w:val="20"/>
    </w:rPr>
  </w:style>
  <w:style w:type="table" w:styleId="TableGrid">
    <w:name w:val="Table Grid"/>
    <w:basedOn w:val="TableNormal"/>
    <w:uiPriority w:val="59"/>
    <w:rsid w:val="003A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12E3"/>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1512E3"/>
    <w:pPr>
      <w:widowControl w:val="0"/>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EndnoteText">
    <w:name w:val="endnote text"/>
    <w:basedOn w:val="Normal"/>
    <w:link w:val="EndnoteTextChar"/>
    <w:uiPriority w:val="99"/>
    <w:unhideWhenUsed/>
    <w:rsid w:val="001512E3"/>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1512E3"/>
    <w:rPr>
      <w:rFonts w:ascii="Arial" w:hAnsi="Arial"/>
      <w:sz w:val="20"/>
      <w:szCs w:val="20"/>
    </w:rPr>
  </w:style>
  <w:style w:type="character" w:styleId="EndnoteReference">
    <w:name w:val="endnote reference"/>
    <w:basedOn w:val="DefaultParagraphFont"/>
    <w:uiPriority w:val="99"/>
    <w:unhideWhenUsed/>
    <w:rsid w:val="001512E3"/>
    <w:rPr>
      <w:vertAlign w:val="superscript"/>
    </w:rPr>
  </w:style>
  <w:style w:type="character" w:styleId="Hyperlink">
    <w:name w:val="Hyperlink"/>
    <w:basedOn w:val="DefaultParagraphFont"/>
    <w:uiPriority w:val="99"/>
    <w:unhideWhenUsed/>
    <w:rsid w:val="001512E3"/>
    <w:rPr>
      <w:color w:val="0563C1" w:themeColor="hyperlink"/>
      <w:u w:val="single"/>
    </w:rPr>
  </w:style>
  <w:style w:type="paragraph" w:customStyle="1" w:styleId="chapter">
    <w:name w:val="chapter"/>
    <w:rsid w:val="001512E3"/>
    <w:pPr>
      <w:keepNext/>
      <w:tabs>
        <w:tab w:val="left" w:pos="0"/>
      </w:tabs>
      <w:suppressAutoHyphens/>
      <w:spacing w:after="309" w:line="269" w:lineRule="atLeast"/>
      <w:jc w:val="center"/>
    </w:pPr>
    <w:rPr>
      <w:rFonts w:ascii="Times New Roman" w:eastAsia="Times New Roman" w:hAnsi="Times New Roman" w:cs="Times New Roman"/>
      <w:caps/>
      <w:sz w:val="24"/>
      <w:szCs w:val="20"/>
      <w:lang w:val="en-CA"/>
    </w:rPr>
  </w:style>
  <w:style w:type="paragraph" w:customStyle="1" w:styleId="line">
    <w:name w:val="line"/>
    <w:rsid w:val="001512E3"/>
    <w:pPr>
      <w:tabs>
        <w:tab w:val="left" w:pos="0"/>
      </w:tabs>
      <w:spacing w:before="60" w:after="60" w:line="209" w:lineRule="exact"/>
      <w:jc w:val="center"/>
    </w:pPr>
    <w:rPr>
      <w:rFonts w:ascii="Times New Roman" w:eastAsia="Times New Roman" w:hAnsi="Times New Roman" w:cs="Times New Roman"/>
      <w:sz w:val="20"/>
      <w:szCs w:val="20"/>
      <w:lang w:val="en-CA"/>
    </w:rPr>
  </w:style>
  <w:style w:type="paragraph" w:customStyle="1" w:styleId="shorttitle">
    <w:name w:val="shorttitle"/>
    <w:rsid w:val="001512E3"/>
    <w:pPr>
      <w:keepNext/>
      <w:tabs>
        <w:tab w:val="left" w:pos="0"/>
      </w:tabs>
      <w:suppressAutoHyphens/>
      <w:spacing w:after="578" w:line="270" w:lineRule="exact"/>
      <w:jc w:val="center"/>
    </w:pPr>
    <w:rPr>
      <w:rFonts w:ascii="Times New Roman" w:eastAsia="Times New Roman" w:hAnsi="Times New Roman" w:cs="Times New Roman"/>
      <w:b/>
      <w:sz w:val="24"/>
      <w:szCs w:val="20"/>
      <w:lang w:val="en-CA"/>
    </w:rPr>
  </w:style>
  <w:style w:type="paragraph" w:customStyle="1" w:styleId="ConsolidationPeriod">
    <w:name w:val="ConsolidationPeriod"/>
    <w:rsid w:val="001512E3"/>
    <w:pPr>
      <w:widowControl w:val="0"/>
      <w:spacing w:before="90" w:after="0" w:line="190" w:lineRule="exact"/>
    </w:pPr>
    <w:rPr>
      <w:rFonts w:ascii="Times New Roman" w:eastAsia="Times New Roman" w:hAnsi="Times New Roman" w:cs="Times New Roman"/>
      <w:bCs/>
      <w:snapToGrid w:val="0"/>
      <w:color w:val="FF0000"/>
      <w:sz w:val="18"/>
      <w:szCs w:val="20"/>
      <w:lang w:val="en-CA"/>
    </w:rPr>
  </w:style>
  <w:style w:type="paragraph" w:customStyle="1" w:styleId="definition">
    <w:name w:val="definition"/>
    <w:rsid w:val="001512E3"/>
    <w:pPr>
      <w:tabs>
        <w:tab w:val="left" w:pos="0"/>
      </w:tabs>
      <w:spacing w:before="111" w:after="0" w:line="209" w:lineRule="exact"/>
      <w:ind w:left="189" w:hanging="189"/>
      <w:jc w:val="both"/>
    </w:pPr>
    <w:rPr>
      <w:rFonts w:ascii="Times New Roman" w:eastAsia="Times New Roman" w:hAnsi="Times New Roman" w:cs="Times New Roman"/>
      <w:sz w:val="20"/>
      <w:szCs w:val="20"/>
      <w:lang w:val="en-CA"/>
    </w:rPr>
  </w:style>
  <w:style w:type="paragraph" w:customStyle="1" w:styleId="paragraph">
    <w:name w:val="paragraph"/>
    <w:rsid w:val="001512E3"/>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lang w:val="en-CA"/>
    </w:rPr>
  </w:style>
  <w:style w:type="paragraph" w:customStyle="1" w:styleId="subpara">
    <w:name w:val="subpara"/>
    <w:basedOn w:val="paragraph"/>
    <w:rsid w:val="001512E3"/>
    <w:pPr>
      <w:tabs>
        <w:tab w:val="clear" w:pos="418"/>
        <w:tab w:val="clear" w:pos="538"/>
        <w:tab w:val="right" w:pos="837"/>
        <w:tab w:val="left" w:pos="956"/>
      </w:tabs>
      <w:ind w:left="955" w:hanging="955"/>
    </w:pPr>
  </w:style>
  <w:style w:type="paragraph" w:customStyle="1" w:styleId="Pnote">
    <w:name w:val="Pnote"/>
    <w:link w:val="PnoteChar"/>
    <w:rsid w:val="001512E3"/>
    <w:pPr>
      <w:shd w:val="pct15" w:color="auto" w:fill="FFFFFF"/>
      <w:tabs>
        <w:tab w:val="left" w:pos="0"/>
      </w:tabs>
      <w:spacing w:before="100" w:after="0" w:line="179" w:lineRule="exact"/>
      <w:jc w:val="both"/>
    </w:pPr>
    <w:rPr>
      <w:rFonts w:ascii="Times New Roman" w:eastAsia="Times New Roman" w:hAnsi="Times New Roman" w:cs="Times New Roman"/>
      <w:b/>
      <w:sz w:val="16"/>
      <w:szCs w:val="20"/>
      <w:lang w:val="en-CA"/>
    </w:rPr>
  </w:style>
  <w:style w:type="paragraph" w:customStyle="1" w:styleId="heading10">
    <w:name w:val="heading1"/>
    <w:rsid w:val="001512E3"/>
    <w:pPr>
      <w:keepNext/>
      <w:keepLines/>
      <w:tabs>
        <w:tab w:val="left" w:pos="0"/>
      </w:tabs>
      <w:suppressAutoHyphens/>
      <w:spacing w:before="150" w:after="0" w:line="209" w:lineRule="exact"/>
      <w:jc w:val="center"/>
    </w:pPr>
    <w:rPr>
      <w:rFonts w:ascii="Times New Roman" w:eastAsia="Times New Roman" w:hAnsi="Times New Roman" w:cs="Times New Roman"/>
      <w:smallCaps/>
      <w:sz w:val="21"/>
      <w:szCs w:val="20"/>
      <w:lang w:val="en-CA"/>
    </w:rPr>
  </w:style>
  <w:style w:type="paragraph" w:customStyle="1" w:styleId="Yparagraph">
    <w:name w:val="Yparagraph"/>
    <w:basedOn w:val="paragraph"/>
    <w:rsid w:val="001512E3"/>
    <w:pPr>
      <w:shd w:val="clear" w:color="auto" w:fill="D9D9D9"/>
    </w:pPr>
  </w:style>
  <w:style w:type="paragraph" w:customStyle="1" w:styleId="preamble">
    <w:name w:val="preamble"/>
    <w:rsid w:val="001512E3"/>
    <w:pPr>
      <w:tabs>
        <w:tab w:val="left" w:pos="189"/>
      </w:tabs>
      <w:spacing w:before="111" w:after="0" w:line="209" w:lineRule="exact"/>
      <w:jc w:val="both"/>
    </w:pPr>
    <w:rPr>
      <w:rFonts w:ascii="Times New Roman" w:eastAsia="Times New Roman" w:hAnsi="Times New Roman" w:cs="Times New Roman"/>
      <w:sz w:val="20"/>
      <w:szCs w:val="20"/>
      <w:lang w:val="en-CA"/>
    </w:rPr>
  </w:style>
  <w:style w:type="paragraph" w:customStyle="1" w:styleId="section">
    <w:name w:val="section"/>
    <w:rsid w:val="001512E3"/>
    <w:pPr>
      <w:spacing w:before="100" w:after="0" w:line="209" w:lineRule="exact"/>
      <w:jc w:val="both"/>
    </w:pPr>
    <w:rPr>
      <w:rFonts w:ascii="Times New Roman" w:eastAsia="Times New Roman" w:hAnsi="Times New Roman" w:cs="Times New Roman"/>
      <w:sz w:val="20"/>
      <w:szCs w:val="20"/>
      <w:lang w:val="en-CA"/>
    </w:rPr>
  </w:style>
  <w:style w:type="paragraph" w:customStyle="1" w:styleId="subsection">
    <w:name w:val="subsection"/>
    <w:basedOn w:val="section"/>
    <w:rsid w:val="001512E3"/>
  </w:style>
  <w:style w:type="paragraph" w:customStyle="1" w:styleId="footnoteLeft">
    <w:name w:val="footnoteLeft"/>
    <w:basedOn w:val="Normal"/>
    <w:rsid w:val="001512E3"/>
    <w:pPr>
      <w:tabs>
        <w:tab w:val="left" w:pos="0"/>
      </w:tabs>
      <w:spacing w:before="111" w:after="0" w:line="209" w:lineRule="exact"/>
      <w:jc w:val="both"/>
    </w:pPr>
    <w:rPr>
      <w:rFonts w:ascii="Times New Roman" w:eastAsia="Times New Roman" w:hAnsi="Times New Roman" w:cs="Times New Roman"/>
      <w:sz w:val="18"/>
      <w:szCs w:val="20"/>
      <w:lang w:val="en-CA"/>
    </w:rPr>
  </w:style>
  <w:style w:type="paragraph" w:customStyle="1" w:styleId="table">
    <w:name w:val="table"/>
    <w:rsid w:val="001512E3"/>
    <w:pPr>
      <w:suppressAutoHyphens/>
      <w:spacing w:before="11" w:after="0" w:line="189" w:lineRule="exact"/>
    </w:pPr>
    <w:rPr>
      <w:rFonts w:ascii="Times New Roman" w:eastAsia="Times New Roman" w:hAnsi="Times New Roman" w:cs="Times New Roman"/>
      <w:sz w:val="18"/>
      <w:szCs w:val="20"/>
      <w:lang w:val="en-CA"/>
    </w:rPr>
  </w:style>
  <w:style w:type="paragraph" w:customStyle="1" w:styleId="toc">
    <w:name w:val="toc"/>
    <w:rsid w:val="001512E3"/>
    <w:pPr>
      <w:keepNext/>
      <w:tabs>
        <w:tab w:val="left" w:pos="0"/>
      </w:tabs>
      <w:suppressAutoHyphens/>
      <w:spacing w:before="300" w:after="120" w:line="209" w:lineRule="exact"/>
      <w:jc w:val="center"/>
    </w:pPr>
    <w:rPr>
      <w:rFonts w:ascii="Times New Roman" w:eastAsia="Times New Roman" w:hAnsi="Times New Roman" w:cs="Times New Roman"/>
      <w:b/>
      <w:caps/>
      <w:sz w:val="19"/>
      <w:szCs w:val="20"/>
      <w:lang w:val="en-CA"/>
    </w:rPr>
  </w:style>
  <w:style w:type="character" w:customStyle="1" w:styleId="PnoteChar">
    <w:name w:val="Pnote Char"/>
    <w:link w:val="Pnote"/>
    <w:rsid w:val="001512E3"/>
    <w:rPr>
      <w:rFonts w:ascii="Times New Roman" w:eastAsia="Times New Roman" w:hAnsi="Times New Roman" w:cs="Times New Roman"/>
      <w:b/>
      <w:sz w:val="16"/>
      <w:szCs w:val="20"/>
      <w:shd w:val="pct15" w:color="auto" w:fill="FFFFFF"/>
      <w:lang w:val="en-CA"/>
    </w:rPr>
  </w:style>
  <w:style w:type="paragraph" w:customStyle="1" w:styleId="headnote">
    <w:name w:val="headnote"/>
    <w:rsid w:val="001512E3"/>
    <w:pPr>
      <w:keepNext/>
      <w:keepLines/>
      <w:tabs>
        <w:tab w:val="left" w:pos="0"/>
      </w:tabs>
      <w:suppressAutoHyphens/>
      <w:spacing w:before="120" w:after="0" w:line="180" w:lineRule="exact"/>
    </w:pPr>
    <w:rPr>
      <w:rFonts w:ascii="Times New Roman" w:eastAsia="Times New Roman" w:hAnsi="Times New Roman" w:cs="Times New Roman"/>
      <w:b/>
      <w:sz w:val="20"/>
      <w:szCs w:val="20"/>
      <w:lang w:val="en-CA"/>
    </w:rPr>
  </w:style>
  <w:style w:type="paragraph" w:customStyle="1" w:styleId="TOCid">
    <w:name w:val="TOCid"/>
    <w:basedOn w:val="table"/>
    <w:rsid w:val="001512E3"/>
    <w:rPr>
      <w:color w:val="0000FF"/>
      <w:u w:val="single" w:color="0000FF"/>
    </w:rPr>
  </w:style>
  <w:style w:type="character" w:customStyle="1" w:styleId="ovbold">
    <w:name w:val="ovbold"/>
    <w:rsid w:val="001512E3"/>
    <w:rPr>
      <w:b/>
    </w:rPr>
  </w:style>
  <w:style w:type="character" w:customStyle="1" w:styleId="ovitalic">
    <w:name w:val="ovitalic"/>
    <w:rsid w:val="001512E3"/>
    <w:rPr>
      <w:i/>
    </w:rPr>
  </w:style>
  <w:style w:type="character" w:customStyle="1" w:styleId="ovsmallcap">
    <w:name w:val="ovsmallcap"/>
    <w:rsid w:val="001512E3"/>
    <w:rPr>
      <w:smallCaps/>
    </w:rPr>
  </w:style>
  <w:style w:type="paragraph" w:styleId="FootnoteText">
    <w:name w:val="footnote text"/>
    <w:basedOn w:val="Normal"/>
    <w:link w:val="FootnoteTextChar"/>
    <w:uiPriority w:val="99"/>
    <w:semiHidden/>
    <w:unhideWhenUsed/>
    <w:rsid w:val="00197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F32"/>
    <w:rPr>
      <w:sz w:val="20"/>
      <w:szCs w:val="20"/>
    </w:rPr>
  </w:style>
  <w:style w:type="character" w:styleId="FootnoteReference">
    <w:name w:val="footnote reference"/>
    <w:basedOn w:val="DefaultParagraphFont"/>
    <w:uiPriority w:val="99"/>
    <w:semiHidden/>
    <w:unhideWhenUsed/>
    <w:rsid w:val="00197F32"/>
    <w:rPr>
      <w:vertAlign w:val="superscript"/>
    </w:rPr>
  </w:style>
  <w:style w:type="character" w:customStyle="1" w:styleId="Heading3Char">
    <w:name w:val="Heading 3 Char"/>
    <w:basedOn w:val="DefaultParagraphFont"/>
    <w:link w:val="Heading3"/>
    <w:uiPriority w:val="9"/>
    <w:rsid w:val="007322EE"/>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45F0F"/>
    <w:rPr>
      <w:color w:val="605E5C"/>
      <w:shd w:val="clear" w:color="auto" w:fill="E1DFDD"/>
    </w:rPr>
  </w:style>
  <w:style w:type="character" w:styleId="FollowedHyperlink">
    <w:name w:val="FollowedHyperlink"/>
    <w:basedOn w:val="DefaultParagraphFont"/>
    <w:uiPriority w:val="99"/>
    <w:semiHidden/>
    <w:unhideWhenUsed/>
    <w:rsid w:val="003C76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4970">
      <w:bodyDiv w:val="1"/>
      <w:marLeft w:val="0"/>
      <w:marRight w:val="0"/>
      <w:marTop w:val="0"/>
      <w:marBottom w:val="0"/>
      <w:divBdr>
        <w:top w:val="none" w:sz="0" w:space="0" w:color="auto"/>
        <w:left w:val="none" w:sz="0" w:space="0" w:color="auto"/>
        <w:bottom w:val="none" w:sz="0" w:space="0" w:color="auto"/>
        <w:right w:val="none" w:sz="0" w:space="0" w:color="auto"/>
      </w:divBdr>
    </w:div>
    <w:div w:id="484588440">
      <w:bodyDiv w:val="1"/>
      <w:marLeft w:val="0"/>
      <w:marRight w:val="0"/>
      <w:marTop w:val="0"/>
      <w:marBottom w:val="0"/>
      <w:divBdr>
        <w:top w:val="none" w:sz="0" w:space="0" w:color="auto"/>
        <w:left w:val="none" w:sz="0" w:space="0" w:color="auto"/>
        <w:bottom w:val="none" w:sz="0" w:space="0" w:color="auto"/>
        <w:right w:val="none" w:sz="0" w:space="0" w:color="auto"/>
      </w:divBdr>
    </w:div>
    <w:div w:id="846596963">
      <w:bodyDiv w:val="1"/>
      <w:marLeft w:val="0"/>
      <w:marRight w:val="0"/>
      <w:marTop w:val="0"/>
      <w:marBottom w:val="0"/>
      <w:divBdr>
        <w:top w:val="none" w:sz="0" w:space="0" w:color="auto"/>
        <w:left w:val="none" w:sz="0" w:space="0" w:color="auto"/>
        <w:bottom w:val="none" w:sz="0" w:space="0" w:color="auto"/>
        <w:right w:val="none" w:sz="0" w:space="0" w:color="auto"/>
      </w:divBdr>
    </w:div>
    <w:div w:id="1107042820">
      <w:bodyDiv w:val="1"/>
      <w:marLeft w:val="0"/>
      <w:marRight w:val="0"/>
      <w:marTop w:val="0"/>
      <w:marBottom w:val="0"/>
      <w:divBdr>
        <w:top w:val="none" w:sz="0" w:space="0" w:color="auto"/>
        <w:left w:val="none" w:sz="0" w:space="0" w:color="auto"/>
        <w:bottom w:val="none" w:sz="0" w:space="0" w:color="auto"/>
        <w:right w:val="none" w:sz="0" w:space="0" w:color="auto"/>
      </w:divBdr>
    </w:div>
    <w:div w:id="13109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ontario.ca/page/copyright-information-c-queens-printer-ontario" TargetMode="External"/><Relationship Id="rId2" Type="http://schemas.openxmlformats.org/officeDocument/2006/relationships/hyperlink" Target="https://www.casselsbrock.com/Doc/Hospital_Does_Not_Have_To_Disclose_Quality_Assurance_Reports_In_Medical_Malpractice_Case_517" TargetMode="External"/><Relationship Id="rId1" Type="http://schemas.openxmlformats.org/officeDocument/2006/relationships/hyperlink" Target="https://scc-csc.lexum.com/scc-csc/scc-csc/en/item/2679/index.do" TargetMode="External"/><Relationship Id="rId4" Type="http://schemas.openxmlformats.org/officeDocument/2006/relationships/hyperlink" Target="mailto:copyright@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313D46BD9DD49946DA595381B45C0" ma:contentTypeVersion="9" ma:contentTypeDescription="Create a new document." ma:contentTypeScope="" ma:versionID="7db96edca71cdca25b2fdf4535bbce6c">
  <xsd:schema xmlns:xsd="http://www.w3.org/2001/XMLSchema" xmlns:xs="http://www.w3.org/2001/XMLSchema" xmlns:p="http://schemas.microsoft.com/office/2006/metadata/properties" xmlns:ns2="4461701b-9803-4198-bb87-073541a5e0e8" xmlns:ns3="72c78401-6aa3-45fc-bbea-f180350ff12e" targetNamespace="http://schemas.microsoft.com/office/2006/metadata/properties" ma:root="true" ma:fieldsID="6a1b8f58eea7b11b7f9ad0ace81f1ca7" ns2:_="" ns3:_="">
    <xsd:import namespace="4461701b-9803-4198-bb87-073541a5e0e8"/>
    <xsd:import namespace="72c78401-6aa3-45fc-bbea-f180350ff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1701b-9803-4198-bb87-073541a5e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78401-6aa3-45fc-bbea-f180350ff1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9897-092D-489A-AA77-A8B080DFE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1701b-9803-4198-bb87-073541a5e0e8"/>
    <ds:schemaRef ds:uri="72c78401-6aa3-45fc-bbea-f180350ff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A2ECF-7E67-4C96-AFF5-86EAC89A7B89}">
  <ds:schemaRefs>
    <ds:schemaRef ds:uri="http://schemas.microsoft.com/sharepoint/v3/contenttype/forms"/>
  </ds:schemaRefs>
</ds:datastoreItem>
</file>

<file path=customXml/itemProps3.xml><?xml version="1.0" encoding="utf-8"?>
<ds:datastoreItem xmlns:ds="http://schemas.openxmlformats.org/officeDocument/2006/customXml" ds:itemID="{9A403FDE-BAEB-4BDD-BF4C-ACAC83CC90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6C3FAA-28C8-4C5B-9E58-1914D364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Health Network</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UHN</dc:creator>
  <cp:keywords/>
  <dc:description/>
  <cp:lastModifiedBy>Wong, Ansely</cp:lastModifiedBy>
  <cp:revision>17</cp:revision>
  <dcterms:created xsi:type="dcterms:W3CDTF">2019-08-14T16:10:00Z</dcterms:created>
  <dcterms:modified xsi:type="dcterms:W3CDTF">2019-10-25T18:59:00Z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0x01010060A313D46BD9DD49946DA595381B45C0</vt:lpwstr>
  </property>
</Properties>
</file>